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450"/>
        <w:tblW w:w="88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588"/>
        <w:gridCol w:w="583"/>
        <w:gridCol w:w="849"/>
        <w:gridCol w:w="1240"/>
        <w:gridCol w:w="2268"/>
      </w:tblGrid>
      <w:tr w:rsidR="00D149EF" w:rsidTr="00D149EF">
        <w:trPr>
          <w:cantSplit/>
          <w:trHeight w:val="848"/>
        </w:trPr>
        <w:tc>
          <w:tcPr>
            <w:tcW w:w="959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课程</w:t>
            </w:r>
          </w:p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类别</w:t>
            </w:r>
          </w:p>
        </w:tc>
        <w:tc>
          <w:tcPr>
            <w:tcW w:w="2410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课程名称</w:t>
            </w:r>
          </w:p>
        </w:tc>
        <w:tc>
          <w:tcPr>
            <w:tcW w:w="588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学</w:t>
            </w:r>
          </w:p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分</w:t>
            </w:r>
          </w:p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数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学</w:t>
            </w:r>
          </w:p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时</w:t>
            </w:r>
          </w:p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数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学期</w:t>
            </w:r>
          </w:p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安排</w:t>
            </w:r>
          </w:p>
        </w:tc>
        <w:tc>
          <w:tcPr>
            <w:tcW w:w="1240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承担</w:t>
            </w:r>
          </w:p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单位</w:t>
            </w:r>
          </w:p>
        </w:tc>
        <w:tc>
          <w:tcPr>
            <w:tcW w:w="2268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备注</w:t>
            </w:r>
          </w:p>
        </w:tc>
      </w:tr>
      <w:tr w:rsidR="00D149EF" w:rsidTr="00D149EF">
        <w:trPr>
          <w:cantSplit/>
          <w:trHeight w:val="308"/>
        </w:trPr>
        <w:tc>
          <w:tcPr>
            <w:tcW w:w="959" w:type="dxa"/>
            <w:vMerge w:val="restart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博雅</w:t>
            </w:r>
          </w:p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核心</w:t>
            </w:r>
          </w:p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限选</w:t>
            </w:r>
          </w:p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课程</w:t>
            </w:r>
          </w:p>
        </w:tc>
        <w:tc>
          <w:tcPr>
            <w:tcW w:w="2410" w:type="dxa"/>
            <w:vAlign w:val="center"/>
          </w:tcPr>
          <w:p w:rsidR="00D149EF" w:rsidRDefault="00D149EF" w:rsidP="00D149EF">
            <w:pPr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/>
                <w:spacing w:val="-4"/>
                <w:sz w:val="18"/>
                <w:szCs w:val="18"/>
              </w:rPr>
              <w:t>中文写作</w:t>
            </w:r>
          </w:p>
        </w:tc>
        <w:tc>
          <w:tcPr>
            <w:tcW w:w="588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583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24</w:t>
            </w:r>
          </w:p>
        </w:tc>
        <w:tc>
          <w:tcPr>
            <w:tcW w:w="849" w:type="dxa"/>
            <w:vMerge w:val="restart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1-4</w:t>
            </w:r>
          </w:p>
        </w:tc>
        <w:tc>
          <w:tcPr>
            <w:tcW w:w="1240" w:type="dxa"/>
            <w:vMerge w:val="restart"/>
            <w:vAlign w:val="center"/>
          </w:tcPr>
          <w:p w:rsidR="00D149EF" w:rsidRDefault="00D149EF" w:rsidP="00D149E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教务处或各系（部）</w:t>
            </w:r>
          </w:p>
        </w:tc>
        <w:tc>
          <w:tcPr>
            <w:tcW w:w="2268" w:type="dxa"/>
            <w:vMerge w:val="restart"/>
            <w:vAlign w:val="center"/>
          </w:tcPr>
          <w:p w:rsidR="00D149EF" w:rsidRDefault="00D149EF" w:rsidP="00D149EF">
            <w:pPr>
              <w:jc w:val="left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博雅核心限选课程模块共包括8门核心课程，学生须从中选修4门共6学分</w:t>
            </w:r>
          </w:p>
        </w:tc>
      </w:tr>
      <w:tr w:rsidR="00D149EF" w:rsidTr="00D149EF">
        <w:trPr>
          <w:cantSplit/>
          <w:trHeight w:val="270"/>
        </w:trPr>
        <w:tc>
          <w:tcPr>
            <w:tcW w:w="959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D149EF" w:rsidRDefault="00D149EF" w:rsidP="00D149EF">
            <w:pPr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/>
                <w:spacing w:val="-4"/>
                <w:sz w:val="18"/>
                <w:szCs w:val="18"/>
              </w:rPr>
              <w:t>艺术修养与审美体验</w:t>
            </w:r>
          </w:p>
        </w:tc>
        <w:tc>
          <w:tcPr>
            <w:tcW w:w="588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583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24</w:t>
            </w:r>
          </w:p>
        </w:tc>
        <w:tc>
          <w:tcPr>
            <w:tcW w:w="849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D149EF" w:rsidTr="00D149EF">
        <w:trPr>
          <w:cantSplit/>
          <w:trHeight w:val="262"/>
        </w:trPr>
        <w:tc>
          <w:tcPr>
            <w:tcW w:w="959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D149EF" w:rsidRDefault="00D149EF" w:rsidP="00D149EF">
            <w:pPr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/>
                <w:spacing w:val="-4"/>
                <w:sz w:val="18"/>
                <w:szCs w:val="18"/>
              </w:rPr>
              <w:t>逻辑与批判性思维</w:t>
            </w:r>
          </w:p>
        </w:tc>
        <w:tc>
          <w:tcPr>
            <w:tcW w:w="588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583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24</w:t>
            </w:r>
          </w:p>
        </w:tc>
        <w:tc>
          <w:tcPr>
            <w:tcW w:w="849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D149EF" w:rsidTr="00D149EF">
        <w:trPr>
          <w:cantSplit/>
          <w:trHeight w:val="352"/>
        </w:trPr>
        <w:tc>
          <w:tcPr>
            <w:tcW w:w="959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D149EF" w:rsidRDefault="00D149EF" w:rsidP="00D149EF">
            <w:pPr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/>
                <w:spacing w:val="-4"/>
                <w:sz w:val="18"/>
                <w:szCs w:val="18"/>
              </w:rPr>
              <w:t>数学文化</w:t>
            </w:r>
          </w:p>
        </w:tc>
        <w:tc>
          <w:tcPr>
            <w:tcW w:w="588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583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24</w:t>
            </w:r>
          </w:p>
        </w:tc>
        <w:tc>
          <w:tcPr>
            <w:tcW w:w="849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D149EF" w:rsidTr="00D149EF">
        <w:trPr>
          <w:cantSplit/>
          <w:trHeight w:val="272"/>
        </w:trPr>
        <w:tc>
          <w:tcPr>
            <w:tcW w:w="959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D149EF" w:rsidRDefault="00D149EF" w:rsidP="00D149EF">
            <w:pPr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/>
                <w:spacing w:val="-4"/>
                <w:sz w:val="18"/>
                <w:szCs w:val="18"/>
              </w:rPr>
              <w:t>中国传统文化概论</w:t>
            </w:r>
          </w:p>
        </w:tc>
        <w:tc>
          <w:tcPr>
            <w:tcW w:w="588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583" w:type="dxa"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24</w:t>
            </w:r>
          </w:p>
        </w:tc>
        <w:tc>
          <w:tcPr>
            <w:tcW w:w="849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D149EF" w:rsidRDefault="00D149EF" w:rsidP="00D149EF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349"/>
        </w:trPr>
        <w:tc>
          <w:tcPr>
            <w:tcW w:w="95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/>
                <w:spacing w:val="-4"/>
                <w:sz w:val="18"/>
                <w:szCs w:val="18"/>
              </w:rPr>
              <w:t>世界历史与文明</w:t>
            </w:r>
            <w:bookmarkStart w:id="0" w:name="_GoBack"/>
            <w:bookmarkEnd w:id="0"/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24</w:t>
            </w:r>
          </w:p>
        </w:tc>
        <w:tc>
          <w:tcPr>
            <w:tcW w:w="84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349"/>
        </w:trPr>
        <w:tc>
          <w:tcPr>
            <w:tcW w:w="95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/>
                <w:spacing w:val="-4"/>
                <w:sz w:val="18"/>
                <w:szCs w:val="18"/>
              </w:rPr>
              <w:t>科学技术史</w:t>
            </w: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24</w:t>
            </w:r>
          </w:p>
        </w:tc>
        <w:tc>
          <w:tcPr>
            <w:tcW w:w="84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268"/>
        </w:trPr>
        <w:tc>
          <w:tcPr>
            <w:tcW w:w="95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/>
                <w:spacing w:val="-4"/>
                <w:sz w:val="18"/>
                <w:szCs w:val="18"/>
              </w:rPr>
              <w:t>创新思维训练</w:t>
            </w: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24</w:t>
            </w: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320"/>
        </w:trPr>
        <w:tc>
          <w:tcPr>
            <w:tcW w:w="95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小计</w:t>
            </w: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445"/>
        </w:trPr>
        <w:tc>
          <w:tcPr>
            <w:tcW w:w="959" w:type="dxa"/>
            <w:vMerge w:val="restart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博雅</w:t>
            </w:r>
          </w:p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一般</w:t>
            </w:r>
          </w:p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任选</w:t>
            </w:r>
          </w:p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课程</w:t>
            </w: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1-6</w:t>
            </w:r>
          </w:p>
        </w:tc>
        <w:tc>
          <w:tcPr>
            <w:tcW w:w="1240" w:type="dxa"/>
            <w:vMerge w:val="restart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教务处或各系（部）</w:t>
            </w:r>
          </w:p>
        </w:tc>
        <w:tc>
          <w:tcPr>
            <w:tcW w:w="2268" w:type="dxa"/>
            <w:vMerge w:val="restart"/>
            <w:vAlign w:val="center"/>
          </w:tcPr>
          <w:p w:rsidR="00EE6F0B" w:rsidRDefault="00EE6F0B" w:rsidP="00EE6F0B">
            <w:pPr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1、博雅一般任选课程包括人文教育与艺术鉴赏、数理基础与逻辑批判、文明传承与国际视野、科学技术与社会创新四类课程，具体开设课程见《惠州学院博雅教育课程建设实施办法》，由教务处统筹安排。</w:t>
            </w:r>
          </w:p>
          <w:p w:rsidR="00EE6F0B" w:rsidRPr="005C285B" w:rsidRDefault="00EE6F0B" w:rsidP="00EE6F0B">
            <w:pPr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2、学生须任选本模块课程4.5学分。</w:t>
            </w:r>
          </w:p>
        </w:tc>
      </w:tr>
      <w:tr w:rsidR="00EE6F0B" w:rsidTr="00D149EF">
        <w:trPr>
          <w:cantSplit/>
          <w:trHeight w:val="445"/>
        </w:trPr>
        <w:tc>
          <w:tcPr>
            <w:tcW w:w="95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E6F0B" w:rsidRDefault="00EE6F0B" w:rsidP="00EE6F0B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445"/>
        </w:trPr>
        <w:tc>
          <w:tcPr>
            <w:tcW w:w="95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E6F0B" w:rsidRDefault="00EE6F0B" w:rsidP="00EE6F0B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445"/>
        </w:trPr>
        <w:tc>
          <w:tcPr>
            <w:tcW w:w="95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445"/>
        </w:trPr>
        <w:tc>
          <w:tcPr>
            <w:tcW w:w="95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445"/>
        </w:trPr>
        <w:tc>
          <w:tcPr>
            <w:tcW w:w="95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445"/>
        </w:trPr>
        <w:tc>
          <w:tcPr>
            <w:tcW w:w="95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445"/>
        </w:trPr>
        <w:tc>
          <w:tcPr>
            <w:tcW w:w="95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bottom w:val="single" w:sz="4" w:space="0" w:color="auto"/>
            </w:tcBorders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222"/>
        </w:trPr>
        <w:tc>
          <w:tcPr>
            <w:tcW w:w="95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小计</w:t>
            </w: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4.5</w:t>
            </w: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445"/>
        </w:trPr>
        <w:tc>
          <w:tcPr>
            <w:tcW w:w="959" w:type="dxa"/>
            <w:vMerge w:val="restart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综合素质与自我发展课程</w:t>
            </w: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各类讲座</w:t>
            </w: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1-8</w:t>
            </w:r>
          </w:p>
        </w:tc>
        <w:tc>
          <w:tcPr>
            <w:tcW w:w="124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各二级学院</w:t>
            </w:r>
          </w:p>
        </w:tc>
        <w:tc>
          <w:tcPr>
            <w:tcW w:w="2268" w:type="dxa"/>
            <w:vMerge w:val="restart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pacing w:val="-4"/>
                <w:sz w:val="18"/>
                <w:szCs w:val="18"/>
              </w:rPr>
              <w:t>每参与</w:t>
            </w:r>
            <w:proofErr w:type="gramEnd"/>
            <w:r>
              <w:rPr>
                <w:rFonts w:ascii="宋体" w:hAnsi="宋体" w:hint="eastAsia"/>
                <w:spacing w:val="-4"/>
                <w:sz w:val="18"/>
                <w:szCs w:val="18"/>
              </w:rPr>
              <w:t>一次讲座计0.15学分，各专业学生至少须参与10次讲座。</w:t>
            </w:r>
          </w:p>
        </w:tc>
      </w:tr>
      <w:tr w:rsidR="00EE6F0B" w:rsidTr="00D149EF">
        <w:trPr>
          <w:cantSplit/>
          <w:trHeight w:val="445"/>
        </w:trPr>
        <w:tc>
          <w:tcPr>
            <w:tcW w:w="959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小计</w:t>
            </w: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1.5</w:t>
            </w: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  <w:tr w:rsidR="00EE6F0B" w:rsidTr="00D149EF">
        <w:trPr>
          <w:cantSplit/>
          <w:trHeight w:val="445"/>
        </w:trPr>
        <w:tc>
          <w:tcPr>
            <w:tcW w:w="3369" w:type="dxa"/>
            <w:gridSpan w:val="2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58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583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0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E6F0B" w:rsidRDefault="00EE6F0B" w:rsidP="00EE6F0B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</w:tr>
    </w:tbl>
    <w:p w:rsidR="00546EBE" w:rsidRPr="00D149EF" w:rsidRDefault="00D149EF">
      <w:pPr>
        <w:rPr>
          <w:sz w:val="24"/>
          <w:szCs w:val="24"/>
        </w:rPr>
      </w:pPr>
      <w:r w:rsidRPr="00D149EF">
        <w:rPr>
          <w:sz w:val="24"/>
          <w:szCs w:val="24"/>
        </w:rPr>
        <w:t>附件</w:t>
      </w:r>
      <w:r w:rsidRPr="00D149EF">
        <w:rPr>
          <w:rFonts w:hint="eastAsia"/>
          <w:sz w:val="24"/>
          <w:szCs w:val="24"/>
        </w:rPr>
        <w:t>1</w:t>
      </w:r>
      <w:r w:rsidRPr="00D149EF">
        <w:rPr>
          <w:rFonts w:hint="eastAsia"/>
          <w:sz w:val="24"/>
          <w:szCs w:val="24"/>
        </w:rPr>
        <w:t>：</w:t>
      </w:r>
    </w:p>
    <w:p w:rsidR="00D149EF" w:rsidRPr="00D149EF" w:rsidRDefault="00D149EF" w:rsidP="00D149EF">
      <w:pPr>
        <w:spacing w:beforeLines="50" w:before="156" w:afterLines="50" w:after="156" w:line="360" w:lineRule="auto"/>
        <w:jc w:val="left"/>
        <w:rPr>
          <w:sz w:val="24"/>
          <w:szCs w:val="24"/>
        </w:rPr>
      </w:pPr>
      <w:r w:rsidRPr="00D149EF">
        <w:rPr>
          <w:rFonts w:hint="eastAsia"/>
          <w:sz w:val="24"/>
          <w:szCs w:val="24"/>
        </w:rPr>
        <w:t>16</w:t>
      </w:r>
      <w:r w:rsidRPr="00D149EF">
        <w:rPr>
          <w:rFonts w:hint="eastAsia"/>
          <w:sz w:val="24"/>
          <w:szCs w:val="24"/>
        </w:rPr>
        <w:t>版本</w:t>
      </w:r>
      <w:proofErr w:type="gramStart"/>
      <w:r w:rsidRPr="00D149EF">
        <w:rPr>
          <w:rFonts w:hint="eastAsia"/>
          <w:sz w:val="24"/>
          <w:szCs w:val="24"/>
        </w:rPr>
        <w:t>科人才</w:t>
      </w:r>
      <w:proofErr w:type="gramEnd"/>
      <w:r w:rsidRPr="00D149EF">
        <w:rPr>
          <w:rFonts w:hint="eastAsia"/>
          <w:sz w:val="24"/>
          <w:szCs w:val="24"/>
        </w:rPr>
        <w:t>培养方案</w:t>
      </w:r>
    </w:p>
    <w:p w:rsidR="00D149EF" w:rsidRPr="00486D36" w:rsidRDefault="00D149EF" w:rsidP="00D149EF">
      <w:pPr>
        <w:spacing w:beforeLines="50" w:before="156" w:afterLines="50" w:after="156" w:line="360" w:lineRule="auto"/>
        <w:jc w:val="center"/>
        <w:rPr>
          <w:rFonts w:ascii="方正小标宋简体" w:eastAsia="方正小标宋简体"/>
          <w:sz w:val="28"/>
          <w:szCs w:val="28"/>
        </w:rPr>
      </w:pPr>
      <w:r w:rsidRPr="00486D36">
        <w:rPr>
          <w:rFonts w:ascii="方正小标宋简体" w:eastAsia="方正小标宋简体" w:hint="eastAsia"/>
          <w:sz w:val="28"/>
          <w:szCs w:val="28"/>
        </w:rPr>
        <w:t>博雅教育课程平台</w:t>
      </w:r>
    </w:p>
    <w:p w:rsidR="00D149EF" w:rsidRDefault="00D149EF"/>
    <w:sectPr w:rsidR="00D14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9EF"/>
    <w:rsid w:val="00546EBE"/>
    <w:rsid w:val="00D149EF"/>
    <w:rsid w:val="00EE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9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9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2020-03-21T07:19:00Z</dcterms:created>
  <dcterms:modified xsi:type="dcterms:W3CDTF">2020-03-25T11:43:00Z</dcterms:modified>
</cp:coreProperties>
</file>