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</w:pPr>
      <w:bookmarkStart w:id="0" w:name="_Hlk60906263"/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-202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学年第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学期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一般任选课程申报通知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现将202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-202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学年第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一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学期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一般任选课程申报通知如下：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一般任选课程是由各二级学院面向全校开设的选修课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是我校通识教育“七大主题模块”暨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val="en-US" w:eastAsia="zh-CN"/>
        </w:rPr>
        <w:t>22个通识课程群的有机组成部分（通识课程群分为核心课程与一般任选课程）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学生根据个人兴趣与发展进行跨学科选择课程，通过交叉学习，开阔眼界，搭建复合型知识结构，有助于全面提升学生的综合素质，为学生继续学习和终身教育打下良好基础。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二、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一般任选课程的设置原则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2606EA"/>
          <w:sz w:val="24"/>
          <w:szCs w:val="24"/>
          <w:shd w:val="clear" w:color="auto" w:fill="FFFFFF"/>
          <w:lang w:eastAsia="zh-CN"/>
        </w:rPr>
        <w:t>因校制宜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原则。符合学校总体的人才培养目标、定位和特色，满足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全面发展的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人才培养需求和社会发展需要。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2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2606EA"/>
          <w:sz w:val="24"/>
          <w:szCs w:val="24"/>
          <w:shd w:val="clear" w:color="auto" w:fill="FFFFFF"/>
          <w:lang w:eastAsia="zh-CN"/>
        </w:rPr>
        <w:t>学生中心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原则。有利于培养学生兴趣爱好，挖掘学生各方面潜能，扩大学生知识面，促进学生个性发展，提高学生综合素质和能力。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3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2606EA"/>
          <w:sz w:val="24"/>
          <w:szCs w:val="24"/>
          <w:shd w:val="clear" w:color="auto" w:fill="FFFFFF"/>
          <w:lang w:eastAsia="zh-CN"/>
        </w:rPr>
        <w:t>科学规范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原则。不得与其他选修课内容重复或相近，不得因人设课、因工作量设课。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三、课程管理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FF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一般任选课按所属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课程群，以课程群负责人所在的二级学院，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实行二级学院归口管理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二级学院要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依据《惠州学院基层教学组织建设实施指导意见》</w:t>
      </w:r>
      <w:r>
        <w:rPr>
          <w:rFonts w:hint="eastAsia" w:asciiTheme="minorEastAsia" w:hAnsiTheme="minorEastAsia"/>
          <w:color w:val="0000FF"/>
          <w:sz w:val="24"/>
          <w:szCs w:val="24"/>
          <w:highlight w:val="yellow"/>
          <w:shd w:val="clear" w:color="auto" w:fill="FFFFFF"/>
          <w:lang w:eastAsia="zh-CN"/>
        </w:rPr>
        <w:t>（惠院发</w:t>
      </w:r>
      <w:r>
        <w:rPr>
          <w:rFonts w:hint="eastAsia" w:asciiTheme="minorEastAsia" w:hAnsiTheme="minorEastAsia"/>
          <w:color w:val="0000FF"/>
          <w:sz w:val="24"/>
          <w:szCs w:val="24"/>
          <w:highlight w:val="yellow"/>
          <w:shd w:val="clear" w:color="auto" w:fill="FFFFFF"/>
          <w:lang w:val="en-US" w:eastAsia="zh-CN"/>
        </w:rPr>
        <w:t>[2021]126号</w:t>
      </w:r>
      <w:r>
        <w:rPr>
          <w:rFonts w:hint="eastAsia" w:asciiTheme="minorEastAsia" w:hAnsiTheme="minorEastAsia"/>
          <w:color w:val="0000FF"/>
          <w:sz w:val="24"/>
          <w:szCs w:val="24"/>
          <w:highlight w:val="yellow"/>
          <w:shd w:val="clear" w:color="auto" w:fill="FFFFFF"/>
          <w:lang w:eastAsia="zh-CN"/>
        </w:rPr>
        <w:t>）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支持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、指导、督促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本学院承担课程群负责人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及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承担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相应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课程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建设的教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师做好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团队发展和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课程建设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任务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同时，课程群负责人应以高度责任感，明晰课程群建设目标、协调课程群内部教学交流与沟通事宜，定期带领授课团队开展教研活动并做好教研工作记录，切实做好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</w:rPr>
        <w:t>课程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建设与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</w:rPr>
        <w:t>管理方面相关工作。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2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各二级学院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教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师拟开设的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一般任选课程，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应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由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其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所在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二级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进行初审。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各二级学院应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按学校通识课程建设总体要求，审核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课程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内容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，避免出现同课不同名、同名不同课、同课不同纲、课程随意性大、课程变化调整多的现象，保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证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课程稳定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开出质量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。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初审通过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后汇总报送教务处，并经课程群负责人复审后交教务处通识教育中心进行最终审批。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0"/>
        <w:jc w:val="left"/>
        <w:textAlignment w:val="auto"/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3.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行政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、教辅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部门教师拟开设的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一般任选课程，应由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</w:rPr>
        <w:t>课程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群负责人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</w:rPr>
        <w:t>所属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eastAsia="zh-CN"/>
        </w:rPr>
        <w:t>二级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</w:rPr>
        <w:t>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进行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初审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后汇总报送教务处，由课程群负责人复审后交教务处通识教育中心进行审批。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0"/>
        <w:jc w:val="left"/>
        <w:textAlignment w:val="auto"/>
        <w:rPr>
          <w:rFonts w:hint="default" w:asciiTheme="minorEastAsia" w:hAnsiTheme="minorEastAsia"/>
          <w:color w:val="0000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val="en-US" w:eastAsia="zh-CN"/>
        </w:rPr>
        <w:t>4.根据2021版本科人才培养方案的相关规定，结合学校对通识课程建设的要求，开课教师应明确两点：一是一般任选课程原则上不超过16学时，学分不超过1学分，且每学期尽量多轮次开设灵活小课（注：8学时，0.5学分），以满足更多学生的选课需求；二是必须对学生受众的</w:t>
      </w:r>
      <w:r>
        <w:rPr>
          <w:rFonts w:hint="eastAsia" w:asciiTheme="minorEastAsia" w:hAnsiTheme="minorEastAsia"/>
          <w:color w:val="0000FF"/>
          <w:sz w:val="24"/>
          <w:szCs w:val="24"/>
          <w:highlight w:val="yellow"/>
          <w:shd w:val="clear" w:color="auto" w:fill="FFFFFF"/>
          <w:lang w:val="en-US" w:eastAsia="zh-CN"/>
        </w:rPr>
        <w:t>年级、专业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val="en-US" w:eastAsia="zh-CN"/>
        </w:rPr>
        <w:t>予以说明或限制，在教学大纲中清楚注明课程对象面向哪个</w:t>
      </w:r>
      <w:r>
        <w:rPr>
          <w:rFonts w:hint="eastAsia" w:asciiTheme="minorEastAsia" w:hAnsiTheme="minorEastAsia"/>
          <w:color w:val="0000FF"/>
          <w:sz w:val="24"/>
          <w:szCs w:val="24"/>
          <w:highlight w:val="yellow"/>
          <w:shd w:val="clear" w:color="auto" w:fill="FFFFFF"/>
          <w:lang w:val="en-US" w:eastAsia="zh-CN"/>
        </w:rPr>
        <w:t>年级、专业</w:t>
      </w:r>
      <w:r>
        <w:rPr>
          <w:rFonts w:hint="eastAsia" w:asciiTheme="minorEastAsia" w:hAnsiTheme="minorEastAsia"/>
          <w:color w:val="0000FF"/>
          <w:sz w:val="24"/>
          <w:szCs w:val="24"/>
          <w:shd w:val="clear" w:color="auto" w:fill="FFFFFF"/>
          <w:lang w:val="en-US" w:eastAsia="zh-CN"/>
        </w:rPr>
        <w:t>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四、开课要求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为规范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一般任选课程的开设，拟开课教师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应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向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本人所在的二级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学院提交开课申请。为保证课程质量，请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二级学院认真做好开课教师资格审查、课程内容审定，拟开设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的一般任选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课程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应符合所属通识课程群的知识体系与教学目标，不能与通识核心课程内容重复。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五、申报流程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拟开设课程的教师，应填写《惠州学院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一般任选课程开课申请表》和《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教学计划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进度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表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》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contextualSpacing/>
        <w:jc w:val="left"/>
        <w:textAlignment w:val="auto"/>
        <w:rPr>
          <w:rFonts w:cs="Tahom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2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eastAsia="zh-CN"/>
        </w:rPr>
        <w:t>.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报送材料：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纸质版的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《惠州学院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一般任选课程开课申请表》、《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教学计划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进度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表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》及《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教学大纲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》交到</w:t>
      </w:r>
      <w:r>
        <w:rPr>
          <w:rFonts w:hint="eastAsia" w:asciiTheme="minorEastAsia" w:hAnsiTheme="minorEastAsia"/>
          <w:color w:val="333333"/>
          <w:sz w:val="24"/>
          <w:szCs w:val="24"/>
        </w:rPr>
        <w:t>行政楼205室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，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电子文档发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送至</w:t>
      </w:r>
      <w:r>
        <w:fldChar w:fldCharType="begin"/>
      </w:r>
      <w:r>
        <w:instrText xml:space="preserve"> HYPERLINK "mailto:gdzh2408@hzu.edu.cn" </w:instrText>
      </w:r>
      <w:r>
        <w:fldChar w:fldCharType="separate"/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gdzh2408@hzu.edu.cn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邮箱。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3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eastAsia="zh-CN"/>
        </w:rPr>
        <w:t>.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申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请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时间：</w:t>
      </w:r>
      <w:r>
        <w:rPr>
          <w:rFonts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</w:rPr>
        <w:t>202</w:t>
      </w:r>
      <w:r>
        <w:rPr>
          <w:rFonts w:hint="eastAsia"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</w:rPr>
        <w:t>年</w:t>
      </w:r>
      <w:r>
        <w:rPr>
          <w:rFonts w:hint="eastAsia"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</w:rPr>
        <w:t>月</w:t>
      </w:r>
      <w:r>
        <w:rPr>
          <w:rFonts w:hint="eastAsia"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cs="Tahoma" w:asciiTheme="minorEastAsia" w:hAnsiTheme="minorEastAsia"/>
          <w:b/>
          <w:bCs/>
          <w:color w:val="FF0000"/>
          <w:kern w:val="0"/>
          <w:sz w:val="24"/>
          <w:szCs w:val="24"/>
          <w:highlight w:val="yellow"/>
        </w:rPr>
        <w:t>日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前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由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各二级学院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val="en-US" w:eastAsia="zh-CN"/>
        </w:rPr>
        <w:t>初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审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eastAsia="zh-CN"/>
        </w:rPr>
        <w:t>后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汇总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报送教务处，由课程群负责人复审后交教务处通识教育中心进行审批。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contextualSpacing/>
        <w:jc w:val="left"/>
        <w:textAlignment w:val="auto"/>
        <w:rPr>
          <w:rFonts w:hint="default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附件：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《惠州学院2021年通识教育“七大主题模块”核心课程名称》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contextualSpacing/>
        <w:jc w:val="left"/>
        <w:textAlignment w:val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 xml:space="preserve">      2.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《惠州学院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一般任选课程开课申请表》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contextualSpacing/>
        <w:jc w:val="left"/>
        <w:textAlignment w:val="auto"/>
        <w:rPr>
          <w:rFonts w:cs="Tahom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《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教学计划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进度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表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contextualSpacing/>
        <w:jc w:val="left"/>
        <w:textAlignment w:val="auto"/>
      </w:pP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 xml:space="preserve">      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《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惠州学院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  <w:lang w:eastAsia="zh-CN"/>
        </w:rPr>
        <w:t>通识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FFF"/>
        </w:rPr>
        <w:t>一般任选课程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汇总</w:t>
      </w:r>
      <w:r>
        <w:rPr>
          <w:rFonts w:cs="Tahoma" w:asciiTheme="minorEastAsia" w:hAnsiTheme="minorEastAsia"/>
          <w:color w:val="333333"/>
          <w:kern w:val="0"/>
          <w:sz w:val="24"/>
          <w:szCs w:val="24"/>
        </w:rPr>
        <w:t>表</w:t>
      </w:r>
      <w:r>
        <w:rPr>
          <w:rFonts w:hint="eastAsia" w:cs="Tahoma" w:asciiTheme="minorEastAsia" w:hAnsiTheme="minorEastAsia"/>
          <w:color w:val="333333"/>
          <w:kern w:val="0"/>
          <w:sz w:val="24"/>
          <w:szCs w:val="24"/>
        </w:rPr>
        <w:t>》</w:t>
      </w:r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11505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06354"/>
    <w:multiLevelType w:val="singleLevel"/>
    <w:tmpl w:val="FA5063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WMzNDJjOTAyMDExZGMzOGM0NDRjOGFhZTg4ZmEifQ=="/>
  </w:docVars>
  <w:rsids>
    <w:rsidRoot w:val="21486A5C"/>
    <w:rsid w:val="053E6FD0"/>
    <w:rsid w:val="06780C0A"/>
    <w:rsid w:val="08DD73C1"/>
    <w:rsid w:val="0FB03A62"/>
    <w:rsid w:val="193261D5"/>
    <w:rsid w:val="1A1A51BB"/>
    <w:rsid w:val="21486A5C"/>
    <w:rsid w:val="2BE347C8"/>
    <w:rsid w:val="3DB354EA"/>
    <w:rsid w:val="40CF7425"/>
    <w:rsid w:val="430D1BB9"/>
    <w:rsid w:val="44B53BD0"/>
    <w:rsid w:val="4CD35CB4"/>
    <w:rsid w:val="5EC41033"/>
    <w:rsid w:val="5F23120A"/>
    <w:rsid w:val="605E0E1E"/>
    <w:rsid w:val="6CAE3F7A"/>
    <w:rsid w:val="7A996ACE"/>
    <w:rsid w:val="7C97265F"/>
    <w:rsid w:val="7D4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1374</Words>
  <Characters>1428</Characters>
  <Lines>0</Lines>
  <Paragraphs>0</Paragraphs>
  <TotalTime>1</TotalTime>
  <ScaleCrop>false</ScaleCrop>
  <LinksUpToDate>false</LinksUpToDate>
  <CharactersWithSpaces>1451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2022-05-09T07:18:00Z</dcterms:created>
  <dc:creator>慧慧</dc:creator>
  <cp:lastModifiedBy>慧慧</cp:lastModifiedBy>
  <dcterms:modified xsi:type="dcterms:W3CDTF">2022-05-26T01:39:21Z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1C61913DC165444FA6363298263B3735</vt:lpwstr>
  </property>
</Properties>
</file>