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0BEBA3">
      <w:pPr>
        <w:spacing w:after="312" w:afterLines="100"/>
        <w:jc w:val="center"/>
        <w:outlineLvl w:val="0"/>
        <w:rPr>
          <w:rFonts w:hint="eastAsia" w:ascii="仿宋" w:hAnsi="仿宋" w:eastAsia="仿宋"/>
          <w:b/>
          <w:sz w:val="32"/>
          <w:szCs w:val="30"/>
        </w:rPr>
      </w:pPr>
      <w:bookmarkStart w:id="0" w:name="_Toc532406043"/>
      <w:r>
        <w:rPr>
          <w:rFonts w:hint="eastAsia" w:ascii="仿宋" w:hAnsi="仿宋" w:eastAsia="仿宋"/>
          <w:b/>
          <w:sz w:val="32"/>
          <w:szCs w:val="30"/>
        </w:rPr>
        <w:t>新教务系统学生选课操作手册</w:t>
      </w:r>
      <w:bookmarkEnd w:id="0"/>
    </w:p>
    <w:p w14:paraId="5742419A">
      <w:pPr>
        <w:spacing w:line="360" w:lineRule="auto"/>
        <w:jc w:val="left"/>
        <w:rPr>
          <w:rFonts w:hint="eastAsia" w:ascii="仿宋" w:hAnsi="仿宋" w:eastAsia="仿宋"/>
          <w:sz w:val="24"/>
          <w:szCs w:val="24"/>
        </w:rPr>
      </w:pPr>
    </w:p>
    <w:p w14:paraId="12C50696">
      <w:pPr>
        <w:numPr>
          <w:ilvl w:val="0"/>
          <w:numId w:val="1"/>
        </w:numPr>
        <w:spacing w:line="360" w:lineRule="auto"/>
        <w:ind w:left="0" w:firstLine="426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相对于第三版</w:t>
      </w:r>
      <w:r>
        <w:rPr>
          <w:rFonts w:ascii="仿宋" w:hAnsi="仿宋" w:eastAsia="仿宋"/>
          <w:sz w:val="24"/>
          <w:szCs w:val="24"/>
        </w:rPr>
        <w:t>选课操作手册，该版本</w:t>
      </w:r>
      <w:r>
        <w:rPr>
          <w:rFonts w:hint="eastAsia" w:ascii="仿宋" w:hAnsi="仿宋" w:eastAsia="仿宋"/>
          <w:sz w:val="24"/>
          <w:szCs w:val="24"/>
        </w:rPr>
        <w:t>根据学生的选课行为详细介绍了各种选课行为的选课方法</w:t>
      </w:r>
      <w:r>
        <w:rPr>
          <w:rFonts w:ascii="仿宋" w:hAnsi="仿宋" w:eastAsia="仿宋"/>
          <w:sz w:val="24"/>
          <w:szCs w:val="24"/>
        </w:rPr>
        <w:t>。</w:t>
      </w:r>
    </w:p>
    <w:p w14:paraId="5235908A">
      <w:pPr>
        <w:numPr>
          <w:ilvl w:val="0"/>
          <w:numId w:val="1"/>
        </w:numPr>
        <w:spacing w:line="360" w:lineRule="auto"/>
        <w:ind w:left="0" w:firstLine="426"/>
        <w:jc w:val="left"/>
        <w:rPr>
          <w:rFonts w:cs="宋体"/>
          <w:bCs/>
          <w:color w:val="FF0000"/>
          <w:sz w:val="27"/>
          <w:szCs w:val="27"/>
        </w:rPr>
      </w:pPr>
      <w:r>
        <w:rPr>
          <w:rFonts w:hint="eastAsia" w:ascii="仿宋" w:hAnsi="仿宋" w:eastAsia="仿宋"/>
          <w:sz w:val="24"/>
          <w:szCs w:val="24"/>
        </w:rPr>
        <w:t>推荐</w:t>
      </w:r>
      <w:r>
        <w:rPr>
          <w:rFonts w:cs="宋体"/>
          <w:bCs/>
          <w:color w:val="FF0000"/>
          <w:sz w:val="27"/>
          <w:szCs w:val="27"/>
        </w:rPr>
        <w:t>使用浏览器。（google浏览器、firefox 浏览器、360极速模式浏览器可用）</w:t>
      </w:r>
    </w:p>
    <w:p w14:paraId="1D90DD2D">
      <w:pPr>
        <w:rPr>
          <w:rFonts w:hint="eastAsia"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3257550" cy="1390650"/>
            <wp:effectExtent l="0" t="0" r="6350" b="635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17C3E">
      <w:pPr>
        <w:widowControl w:val="0"/>
        <w:numPr>
          <w:ilvl w:val="0"/>
          <w:numId w:val="0"/>
        </w:numPr>
        <w:spacing w:line="360" w:lineRule="auto"/>
        <w:jc w:val="left"/>
        <w:rPr>
          <w:rFonts w:hint="eastAsia" w:ascii="仿宋" w:hAnsi="仿宋" w:eastAsia="仿宋"/>
          <w:sz w:val="24"/>
          <w:szCs w:val="24"/>
        </w:rPr>
      </w:pPr>
    </w:p>
    <w:p w14:paraId="3CE6BCB0">
      <w:pPr>
        <w:numPr>
          <w:ilvl w:val="0"/>
          <w:numId w:val="1"/>
        </w:numPr>
        <w:spacing w:line="360" w:lineRule="auto"/>
        <w:ind w:left="0" w:firstLine="426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可选课程只表明该课程允许学生选，与学生一定选上某门课程无关。</w:t>
      </w:r>
    </w:p>
    <w:p w14:paraId="1044F90B">
      <w:pPr>
        <w:numPr>
          <w:ilvl w:val="0"/>
          <w:numId w:val="2"/>
        </w:numPr>
        <w:spacing w:line="360" w:lineRule="auto"/>
        <w:ind w:hanging="482"/>
        <w:jc w:val="left"/>
        <w:outlineLvl w:val="1"/>
        <w:rPr>
          <w:rFonts w:ascii="仿宋" w:hAnsi="仿宋" w:eastAsia="仿宋"/>
          <w:b/>
          <w:sz w:val="28"/>
          <w:szCs w:val="24"/>
        </w:rPr>
      </w:pPr>
      <w:bookmarkStart w:id="1" w:name="_Toc532406044"/>
      <w:r>
        <w:rPr>
          <w:rFonts w:hint="eastAsia" w:ascii="仿宋" w:hAnsi="仿宋" w:eastAsia="仿宋"/>
          <w:b/>
          <w:sz w:val="28"/>
          <w:szCs w:val="24"/>
        </w:rPr>
        <w:t>选课平台</w:t>
      </w:r>
      <w:bookmarkEnd w:id="1"/>
    </w:p>
    <w:p w14:paraId="7E0AA3DF">
      <w:pPr>
        <w:spacing w:line="360" w:lineRule="auto"/>
        <w:ind w:left="537" w:leftChars="228" w:hanging="58" w:hangingChars="24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  <w:u w:val="single"/>
        </w:rPr>
        <w:t>学生选课一律在教务系统中进行</w:t>
      </w:r>
      <w:r>
        <w:rPr>
          <w:rFonts w:hint="eastAsia" w:ascii="仿宋" w:hAnsi="仿宋" w:eastAsia="仿宋"/>
          <w:sz w:val="24"/>
          <w:szCs w:val="24"/>
        </w:rPr>
        <w:t>。</w:t>
      </w:r>
    </w:p>
    <w:p w14:paraId="72670529">
      <w:pPr>
        <w:numPr>
          <w:ilvl w:val="0"/>
          <w:numId w:val="0"/>
        </w:numPr>
        <w:spacing w:line="360" w:lineRule="auto"/>
        <w:ind w:leftChars="204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eastAsia="zh-CN"/>
        </w:rPr>
        <w:t>登陆教务系统方法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：</w:t>
      </w:r>
    </w:p>
    <w:p w14:paraId="292A8FDF">
      <w:pPr>
        <w:numPr>
          <w:ilvl w:val="0"/>
          <w:numId w:val="0"/>
        </w:numPr>
        <w:spacing w:line="360" w:lineRule="auto"/>
        <w:ind w:leftChars="204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进入惠州学院</w:t>
      </w:r>
      <w:r>
        <w:rPr>
          <w:rFonts w:hint="eastAsia" w:ascii="仿宋" w:hAnsi="仿宋" w:eastAsia="仿宋"/>
          <w:sz w:val="24"/>
          <w:szCs w:val="24"/>
          <w:lang w:eastAsia="zh-CN"/>
        </w:rPr>
        <w:t>正方教务</w:t>
      </w:r>
      <w:r>
        <w:rPr>
          <w:rFonts w:hint="eastAsia" w:ascii="仿宋" w:hAnsi="仿宋" w:eastAsia="仿宋"/>
          <w:sz w:val="24"/>
          <w:szCs w:val="24"/>
        </w:rPr>
        <w:t>系统的网址为</w:t>
      </w:r>
      <w:r>
        <w:rPr>
          <w:rFonts w:ascii="宋体" w:hAnsi="宋体" w:eastAsia="宋体" w:cs="宋体"/>
          <w:sz w:val="24"/>
          <w:szCs w:val="24"/>
          <w:u w:val="none"/>
        </w:rPr>
        <w:fldChar w:fldCharType="begin"/>
      </w:r>
      <w:r>
        <w:rPr>
          <w:rFonts w:ascii="宋体" w:hAnsi="宋体" w:eastAsia="宋体" w:cs="宋体"/>
          <w:sz w:val="24"/>
          <w:szCs w:val="24"/>
          <w:u w:val="none"/>
        </w:rPr>
        <w:instrText xml:space="preserve"> HYPERLINK "https://jwxt.hzu.edu.cn/" </w:instrText>
      </w:r>
      <w:r>
        <w:rPr>
          <w:rFonts w:ascii="宋体" w:hAnsi="宋体" w:eastAsia="宋体" w:cs="宋体"/>
          <w:sz w:val="24"/>
          <w:szCs w:val="24"/>
          <w:u w:val="none"/>
        </w:rPr>
        <w:fldChar w:fldCharType="separate"/>
      </w:r>
      <w:r>
        <w:rPr>
          <w:rStyle w:val="7"/>
          <w:rFonts w:ascii="宋体" w:hAnsi="宋体" w:eastAsia="宋体" w:cs="宋体"/>
          <w:sz w:val="24"/>
          <w:szCs w:val="24"/>
          <w:u w:val="none"/>
        </w:rPr>
        <w:t>https://jwxt.hzu.edu.cn/</w:t>
      </w:r>
      <w:r>
        <w:rPr>
          <w:rFonts w:ascii="宋体" w:hAnsi="宋体" w:eastAsia="宋体" w:cs="宋体"/>
          <w:sz w:val="24"/>
          <w:szCs w:val="24"/>
          <w:u w:val="none"/>
        </w:rPr>
        <w:fldChar w:fldCharType="end"/>
      </w:r>
    </w:p>
    <w:p w14:paraId="18750EDF">
      <w:pPr>
        <w:adjustRightInd w:val="0"/>
        <w:snapToGrid w:val="0"/>
        <w:spacing w:line="360" w:lineRule="auto"/>
        <w:ind w:firstLine="482" w:firstLineChars="200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账号</w:t>
      </w:r>
      <w:r>
        <w:rPr>
          <w:rFonts w:hint="eastAsia" w:ascii="仿宋" w:hAnsi="仿宋" w:eastAsia="仿宋"/>
          <w:sz w:val="24"/>
          <w:szCs w:val="24"/>
        </w:rPr>
        <w:t>为学生学号，</w:t>
      </w:r>
      <w:r>
        <w:rPr>
          <w:rFonts w:hint="eastAsia" w:ascii="仿宋" w:hAnsi="仿宋" w:eastAsia="仿宋"/>
          <w:b/>
          <w:sz w:val="24"/>
          <w:szCs w:val="24"/>
        </w:rPr>
        <w:t>密码</w:t>
      </w:r>
      <w:r>
        <w:rPr>
          <w:rFonts w:hint="eastAsia" w:ascii="仿宋" w:hAnsi="仿宋" w:eastAsia="仿宋"/>
          <w:sz w:val="24"/>
          <w:szCs w:val="24"/>
        </w:rPr>
        <w:t>为学生个人已设定的，</w:t>
      </w:r>
      <w:r>
        <w:rPr>
          <w:rFonts w:hint="eastAsia" w:ascii="仿宋" w:hAnsi="仿宋" w:eastAsia="仿宋"/>
          <w:b/>
          <w:sz w:val="24"/>
          <w:szCs w:val="24"/>
          <w:u w:val="single"/>
        </w:rPr>
        <w:t>忘记密码</w:t>
      </w:r>
      <w:r>
        <w:rPr>
          <w:rFonts w:hint="eastAsia" w:ascii="仿宋" w:hAnsi="仿宋" w:eastAsia="仿宋"/>
          <w:b/>
          <w:sz w:val="24"/>
          <w:szCs w:val="24"/>
          <w:u w:val="single"/>
          <w:lang w:val="en-US" w:eastAsia="zh-CN"/>
        </w:rPr>
        <w:t>点击忘记选择密保自己找回</w:t>
      </w:r>
      <w:r>
        <w:rPr>
          <w:rFonts w:hint="eastAsia" w:ascii="仿宋" w:hAnsi="仿宋" w:eastAsia="仿宋"/>
          <w:sz w:val="24"/>
          <w:szCs w:val="24"/>
        </w:rPr>
        <w:t>。</w:t>
      </w:r>
    </w:p>
    <w:p w14:paraId="3A8B3FF8">
      <w:pPr>
        <w:adjustRightInd w:val="0"/>
        <w:snapToGrid w:val="0"/>
        <w:spacing w:line="360" w:lineRule="auto"/>
        <w:ind w:firstLine="480" w:firstLineChars="200"/>
        <w:jc w:val="left"/>
        <w:rPr>
          <w:rFonts w:hint="eastAsia" w:ascii="仿宋" w:hAnsi="仿宋" w:eastAsia="仿宋"/>
          <w:sz w:val="24"/>
          <w:szCs w:val="24"/>
          <w:lang w:eastAsia="zh-CN"/>
        </w:rPr>
      </w:pPr>
      <w:r>
        <w:rPr>
          <w:rFonts w:hint="eastAsia" w:ascii="仿宋" w:hAnsi="仿宋" w:eastAsia="仿宋"/>
          <w:sz w:val="24"/>
          <w:szCs w:val="24"/>
          <w:lang w:eastAsia="zh-CN"/>
        </w:rPr>
        <w:drawing>
          <wp:inline distT="0" distB="0" distL="114300" distR="114300">
            <wp:extent cx="5269865" cy="2381250"/>
            <wp:effectExtent l="0" t="0" r="6985" b="0"/>
            <wp:docPr id="10" name="图片 10" descr="1703731900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0373190012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7CEB0">
      <w:pPr>
        <w:jc w:val="both"/>
        <w:rPr>
          <w:rFonts w:hint="eastAsia" w:ascii="仿宋" w:hAnsi="仿宋" w:eastAsia="仿宋"/>
          <w:b/>
          <w:sz w:val="24"/>
          <w:szCs w:val="24"/>
        </w:rPr>
      </w:pPr>
    </w:p>
    <w:p w14:paraId="48308828">
      <w:pPr>
        <w:numPr>
          <w:ilvl w:val="0"/>
          <w:numId w:val="2"/>
        </w:numPr>
        <w:spacing w:line="360" w:lineRule="auto"/>
        <w:ind w:hanging="482"/>
        <w:jc w:val="left"/>
        <w:outlineLvl w:val="1"/>
        <w:rPr>
          <w:rFonts w:hint="eastAsia" w:ascii="仿宋" w:hAnsi="仿宋" w:eastAsia="仿宋"/>
          <w:b/>
          <w:sz w:val="28"/>
          <w:szCs w:val="24"/>
        </w:rPr>
      </w:pPr>
      <w:bookmarkStart w:id="2" w:name="_Toc532406045"/>
      <w:r>
        <w:rPr>
          <w:rFonts w:hint="eastAsia" w:ascii="仿宋" w:hAnsi="仿宋" w:eastAsia="仿宋"/>
          <w:b/>
          <w:sz w:val="28"/>
          <w:szCs w:val="24"/>
        </w:rPr>
        <w:t>学生的选课行为与各行为的选课操作方法</w:t>
      </w:r>
      <w:bookmarkEnd w:id="2"/>
    </w:p>
    <w:p w14:paraId="39251420">
      <w:pPr>
        <w:numPr>
          <w:ilvl w:val="255"/>
          <w:numId w:val="0"/>
        </w:numPr>
        <w:spacing w:line="360" w:lineRule="auto"/>
        <w:ind w:firstLine="420" w:firstLineChars="175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学生的选课行为可分别是：正常选课，重修选课。</w:t>
      </w:r>
    </w:p>
    <w:p w14:paraId="674C15B6">
      <w:pPr>
        <w:numPr>
          <w:ilvl w:val="255"/>
          <w:numId w:val="0"/>
        </w:numPr>
        <w:spacing w:line="360" w:lineRule="auto"/>
        <w:ind w:firstLine="420" w:firstLineChars="175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说明： </w:t>
      </w:r>
    </w:p>
    <w:p w14:paraId="4DE1446F">
      <w:pPr>
        <w:numPr>
          <w:ilvl w:val="0"/>
          <w:numId w:val="3"/>
        </w:numPr>
        <w:spacing w:line="360" w:lineRule="auto"/>
        <w:ind w:left="0" w:firstLine="425"/>
        <w:jc w:val="left"/>
        <w:outlineLvl w:val="2"/>
        <w:rPr>
          <w:rFonts w:ascii="仿宋" w:hAnsi="仿宋" w:eastAsia="仿宋"/>
          <w:b/>
          <w:sz w:val="24"/>
          <w:szCs w:val="24"/>
        </w:rPr>
      </w:pPr>
      <w:bookmarkStart w:id="3" w:name="_Toc532406046"/>
      <w:r>
        <w:rPr>
          <w:rFonts w:hint="eastAsia" w:ascii="仿宋" w:hAnsi="仿宋" w:eastAsia="仿宋"/>
          <w:b/>
          <w:sz w:val="24"/>
          <w:szCs w:val="24"/>
        </w:rPr>
        <w:t>正常选课</w:t>
      </w:r>
      <w:bookmarkEnd w:id="3"/>
    </w:p>
    <w:p w14:paraId="15E5AB4E">
      <w:pPr>
        <w:spacing w:line="360" w:lineRule="auto"/>
        <w:ind w:firstLine="424" w:firstLineChars="177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指学生按照教学计划（人才培养方案）中进度要求首次选择修读该课程。</w:t>
      </w:r>
    </w:p>
    <w:p w14:paraId="6BC945F9">
      <w:pPr>
        <w:spacing w:line="360" w:lineRule="auto"/>
        <w:ind w:firstLine="424" w:firstLineChars="177"/>
        <w:jc w:val="left"/>
        <w:outlineLvl w:val="3"/>
        <w:rPr>
          <w:rFonts w:hint="eastAsia" w:ascii="仿宋" w:hAnsi="仿宋" w:eastAsia="仿宋"/>
          <w:sz w:val="24"/>
          <w:szCs w:val="24"/>
        </w:rPr>
      </w:pPr>
      <w:bookmarkStart w:id="4" w:name="_Toc532406047"/>
      <w:r>
        <w:rPr>
          <w:rFonts w:hint="eastAsia" w:ascii="仿宋" w:hAnsi="仿宋" w:eastAsia="仿宋"/>
          <w:sz w:val="24"/>
          <w:szCs w:val="24"/>
        </w:rPr>
        <w:t>★正常选课操作方法★</w:t>
      </w:r>
      <w:bookmarkEnd w:id="4"/>
    </w:p>
    <w:p w14:paraId="5AC1D4B1">
      <w:pPr>
        <w:spacing w:line="360" w:lineRule="auto"/>
        <w:ind w:firstLine="424" w:firstLineChars="177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只有一种，进入“自主选课”，点击查询后，所显示的课程为可选课程，有关“自主选课”操作界面介绍请参考3.1。</w:t>
      </w:r>
    </w:p>
    <w:p w14:paraId="25AE528B">
      <w:pPr>
        <w:spacing w:line="360" w:lineRule="auto"/>
        <w:ind w:firstLine="424" w:firstLineChars="177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u w:val="single"/>
        </w:rPr>
        <w:t>第一种方法</w:t>
      </w:r>
      <w:r>
        <w:rPr>
          <w:rFonts w:hint="eastAsia" w:ascii="仿宋" w:hAnsi="仿宋" w:eastAsia="仿宋"/>
          <w:sz w:val="24"/>
          <w:szCs w:val="24"/>
        </w:rPr>
        <w:t>：进入“自主选课”，点击查询后，所显示的课程为可选课程，有关“自主选课”操作界面介绍请参考3.1。</w:t>
      </w:r>
    </w:p>
    <w:p w14:paraId="06C2E308">
      <w:pPr>
        <w:spacing w:line="360" w:lineRule="auto"/>
        <w:ind w:firstLine="424" w:firstLineChars="177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两种</w:t>
      </w:r>
      <w:r>
        <w:rPr>
          <w:rFonts w:ascii="仿宋" w:hAnsi="仿宋" w:eastAsia="仿宋"/>
          <w:sz w:val="24"/>
          <w:szCs w:val="24"/>
        </w:rPr>
        <w:t>方法</w:t>
      </w:r>
      <w:r>
        <w:rPr>
          <w:rFonts w:hint="eastAsia" w:ascii="仿宋" w:hAnsi="仿宋" w:eastAsia="仿宋"/>
          <w:sz w:val="24"/>
          <w:szCs w:val="24"/>
        </w:rPr>
        <w:t>选课</w:t>
      </w:r>
      <w:r>
        <w:rPr>
          <w:rFonts w:ascii="仿宋" w:hAnsi="仿宋" w:eastAsia="仿宋"/>
          <w:sz w:val="24"/>
          <w:szCs w:val="24"/>
        </w:rPr>
        <w:t>成功</w:t>
      </w:r>
      <w:r>
        <w:rPr>
          <w:rFonts w:hint="eastAsia" w:ascii="仿宋" w:hAnsi="仿宋" w:eastAsia="仿宋"/>
          <w:sz w:val="24"/>
          <w:szCs w:val="24"/>
        </w:rPr>
        <w:t>后</w:t>
      </w:r>
      <w:r>
        <w:rPr>
          <w:rFonts w:ascii="仿宋" w:hAnsi="仿宋" w:eastAsia="仿宋"/>
          <w:sz w:val="24"/>
          <w:szCs w:val="24"/>
        </w:rPr>
        <w:t>均视为</w:t>
      </w:r>
      <w:r>
        <w:rPr>
          <w:rFonts w:hint="eastAsia" w:ascii="仿宋" w:hAnsi="仿宋" w:eastAsia="仿宋"/>
          <w:sz w:val="24"/>
          <w:szCs w:val="24"/>
        </w:rPr>
        <w:t>选课</w:t>
      </w:r>
      <w:r>
        <w:rPr>
          <w:rFonts w:ascii="仿宋" w:hAnsi="仿宋" w:eastAsia="仿宋"/>
          <w:sz w:val="24"/>
          <w:szCs w:val="24"/>
        </w:rPr>
        <w:t>有效</w:t>
      </w:r>
      <w:r>
        <w:rPr>
          <w:rFonts w:hint="eastAsia" w:ascii="仿宋" w:hAnsi="仿宋" w:eastAsia="仿宋"/>
          <w:sz w:val="24"/>
          <w:szCs w:val="24"/>
        </w:rPr>
        <w:t>。</w:t>
      </w:r>
    </w:p>
    <w:p w14:paraId="05293EAB">
      <w:pPr>
        <w:numPr>
          <w:ilvl w:val="0"/>
          <w:numId w:val="3"/>
        </w:numPr>
        <w:spacing w:line="360" w:lineRule="auto"/>
        <w:ind w:left="0" w:firstLine="425"/>
        <w:jc w:val="left"/>
        <w:outlineLvl w:val="2"/>
        <w:rPr>
          <w:rFonts w:ascii="仿宋" w:hAnsi="仿宋" w:eastAsia="仿宋"/>
          <w:b/>
          <w:sz w:val="24"/>
          <w:szCs w:val="24"/>
        </w:rPr>
      </w:pPr>
      <w:r>
        <w:rPr>
          <w:rFonts w:ascii="仿宋" w:hAnsi="仿宋" w:eastAsia="仿宋"/>
          <w:b/>
          <w:sz w:val="24"/>
          <w:szCs w:val="24"/>
        </w:rPr>
        <w:t xml:space="preserve"> </w:t>
      </w:r>
      <w:bookmarkStart w:id="5" w:name="_Toc532406054"/>
      <w:r>
        <w:rPr>
          <w:rFonts w:hint="eastAsia" w:ascii="仿宋" w:hAnsi="仿宋" w:eastAsia="仿宋"/>
          <w:b/>
          <w:sz w:val="24"/>
          <w:szCs w:val="24"/>
        </w:rPr>
        <w:t>退课</w:t>
      </w:r>
      <w:bookmarkEnd w:id="5"/>
    </w:p>
    <w:p w14:paraId="51999615">
      <w:pPr>
        <w:spacing w:line="360" w:lineRule="auto"/>
        <w:ind w:firstLine="424" w:firstLineChars="177"/>
        <w:jc w:val="left"/>
        <w:outlineLvl w:val="3"/>
        <w:rPr>
          <w:rFonts w:hint="eastAsia" w:ascii="仿宋" w:hAnsi="仿宋" w:eastAsia="仿宋"/>
          <w:sz w:val="24"/>
          <w:szCs w:val="24"/>
        </w:rPr>
      </w:pPr>
      <w:bookmarkStart w:id="6" w:name="_Toc532406055"/>
      <w:r>
        <w:rPr>
          <w:rFonts w:hint="eastAsia" w:ascii="仿宋" w:hAnsi="仿宋" w:eastAsia="仿宋"/>
          <w:sz w:val="24"/>
          <w:szCs w:val="24"/>
        </w:rPr>
        <w:t>★退课操作方法★</w:t>
      </w:r>
      <w:bookmarkEnd w:id="6"/>
    </w:p>
    <w:p w14:paraId="35E60340">
      <w:pPr>
        <w:spacing w:line="360" w:lineRule="auto"/>
        <w:ind w:firstLine="424" w:firstLineChars="177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学生可对已选上或待筛选的课程进行退选，操作方法见3.3。</w:t>
      </w:r>
    </w:p>
    <w:p w14:paraId="77DF0945">
      <w:pPr>
        <w:numPr>
          <w:ilvl w:val="0"/>
          <w:numId w:val="3"/>
        </w:numPr>
        <w:spacing w:line="360" w:lineRule="auto"/>
        <w:ind w:left="0" w:firstLine="425"/>
        <w:jc w:val="left"/>
        <w:outlineLvl w:val="2"/>
        <w:rPr>
          <w:rFonts w:ascii="仿宋" w:hAnsi="仿宋" w:eastAsia="仿宋"/>
          <w:b/>
          <w:sz w:val="24"/>
          <w:szCs w:val="24"/>
        </w:rPr>
      </w:pPr>
      <w:bookmarkStart w:id="7" w:name="_Toc532406056"/>
      <w:r>
        <w:rPr>
          <w:rFonts w:hint="eastAsia" w:ascii="仿宋" w:hAnsi="仿宋" w:eastAsia="仿宋"/>
          <w:b/>
          <w:sz w:val="24"/>
          <w:szCs w:val="24"/>
        </w:rPr>
        <w:t>个人课表或筛选查询</w:t>
      </w:r>
      <w:bookmarkEnd w:id="7"/>
    </w:p>
    <w:p w14:paraId="451452F2">
      <w:pPr>
        <w:spacing w:line="360" w:lineRule="auto"/>
        <w:ind w:firstLine="424" w:firstLineChars="177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学生已选上或待筛选的课程均会反映到学生个人课表，其中已选上显示为“蓝色字体”，待筛选显示为“红色字体”，个人课表查询与筛选结果查询见3.4。</w:t>
      </w:r>
    </w:p>
    <w:p w14:paraId="5E1CB071">
      <w:pPr>
        <w:numPr>
          <w:ilvl w:val="0"/>
          <w:numId w:val="2"/>
        </w:numPr>
        <w:spacing w:line="360" w:lineRule="auto"/>
        <w:ind w:hanging="482"/>
        <w:jc w:val="left"/>
        <w:outlineLvl w:val="1"/>
        <w:rPr>
          <w:rFonts w:hint="eastAsia" w:ascii="仿宋" w:hAnsi="仿宋" w:eastAsia="仿宋"/>
          <w:b/>
          <w:sz w:val="24"/>
          <w:szCs w:val="24"/>
        </w:rPr>
      </w:pPr>
      <w:bookmarkStart w:id="8" w:name="_Toc532406057"/>
      <w:r>
        <w:rPr>
          <w:rFonts w:hint="eastAsia" w:ascii="仿宋" w:hAnsi="仿宋" w:eastAsia="仿宋"/>
          <w:b/>
          <w:sz w:val="28"/>
          <w:szCs w:val="24"/>
        </w:rPr>
        <w:t>选课、退课与课表查询</w:t>
      </w:r>
      <w:bookmarkEnd w:id="8"/>
    </w:p>
    <w:p w14:paraId="21FFBF4C">
      <w:pPr>
        <w:adjustRightInd w:val="0"/>
        <w:snapToGrid w:val="0"/>
        <w:spacing w:line="360" w:lineRule="auto"/>
        <w:ind w:firstLine="424" w:firstLineChars="176"/>
        <w:jc w:val="left"/>
        <w:rPr>
          <w:rFonts w:hint="eastAsia"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学生选课主要在“自主选课”或“重修选课”中进行。</w:t>
      </w:r>
    </w:p>
    <w:p w14:paraId="44B9620A">
      <w:pPr>
        <w:adjustRightInd w:val="0"/>
        <w:snapToGrid w:val="0"/>
        <w:spacing w:line="360" w:lineRule="auto"/>
        <w:jc w:val="left"/>
        <w:outlineLvl w:val="2"/>
        <w:rPr>
          <w:rFonts w:hint="eastAsia" w:ascii="仿宋" w:hAnsi="仿宋" w:eastAsia="仿宋"/>
          <w:b/>
          <w:sz w:val="24"/>
          <w:szCs w:val="24"/>
          <w:u w:val="single"/>
        </w:rPr>
      </w:pPr>
      <w:bookmarkStart w:id="9" w:name="_Toc532406058"/>
      <w:r>
        <w:drawing>
          <wp:inline distT="0" distB="0" distL="114300" distR="114300">
            <wp:extent cx="6062345" cy="2496820"/>
            <wp:effectExtent l="0" t="0" r="1460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2345" cy="249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D68E7">
      <w:pPr>
        <w:adjustRightInd w:val="0"/>
        <w:snapToGrid w:val="0"/>
        <w:spacing w:line="360" w:lineRule="auto"/>
        <w:ind w:firstLine="424" w:firstLineChars="176"/>
        <w:jc w:val="left"/>
        <w:outlineLvl w:val="2"/>
        <w:rPr>
          <w:rFonts w:hint="eastAsia" w:ascii="仿宋" w:hAnsi="仿宋" w:eastAsia="仿宋"/>
          <w:b/>
          <w:sz w:val="24"/>
          <w:szCs w:val="24"/>
          <w:u w:val="single"/>
        </w:rPr>
      </w:pPr>
    </w:p>
    <w:p w14:paraId="116EB548">
      <w:pPr>
        <w:adjustRightInd w:val="0"/>
        <w:snapToGrid w:val="0"/>
        <w:spacing w:line="360" w:lineRule="auto"/>
        <w:ind w:firstLine="424" w:firstLineChars="176"/>
        <w:jc w:val="left"/>
        <w:outlineLvl w:val="2"/>
        <w:rPr>
          <w:rFonts w:hint="eastAsia" w:ascii="仿宋" w:hAnsi="仿宋" w:eastAsia="仿宋"/>
          <w:b/>
          <w:sz w:val="24"/>
          <w:szCs w:val="24"/>
          <w:u w:val="single"/>
        </w:rPr>
      </w:pPr>
    </w:p>
    <w:p w14:paraId="0F039C79">
      <w:pPr>
        <w:adjustRightInd w:val="0"/>
        <w:snapToGrid w:val="0"/>
        <w:spacing w:line="360" w:lineRule="auto"/>
        <w:ind w:firstLine="424" w:firstLineChars="176"/>
        <w:jc w:val="left"/>
        <w:outlineLvl w:val="2"/>
        <w:rPr>
          <w:rFonts w:hint="eastAsia" w:ascii="仿宋" w:hAnsi="仿宋" w:eastAsia="仿宋"/>
          <w:b/>
          <w:sz w:val="24"/>
          <w:szCs w:val="24"/>
          <w:u w:val="single"/>
        </w:rPr>
      </w:pPr>
      <w:r>
        <w:rPr>
          <w:rFonts w:hint="eastAsia" w:ascii="仿宋" w:hAnsi="仿宋" w:eastAsia="仿宋"/>
          <w:b/>
          <w:sz w:val="24"/>
          <w:szCs w:val="24"/>
          <w:u w:val="single"/>
        </w:rPr>
        <w:t>3</w:t>
      </w:r>
      <w:r>
        <w:rPr>
          <w:rFonts w:ascii="仿宋" w:hAnsi="仿宋" w:eastAsia="仿宋"/>
          <w:b/>
          <w:sz w:val="24"/>
          <w:szCs w:val="24"/>
          <w:u w:val="single"/>
        </w:rPr>
        <w:t>.1</w:t>
      </w:r>
      <w:r>
        <w:rPr>
          <w:rFonts w:hint="eastAsia" w:ascii="仿宋" w:hAnsi="仿宋" w:eastAsia="仿宋"/>
          <w:b/>
          <w:sz w:val="24"/>
          <w:szCs w:val="24"/>
          <w:u w:val="single"/>
        </w:rPr>
        <w:t>自主选课界面介绍</w:t>
      </w:r>
      <w:bookmarkEnd w:id="9"/>
    </w:p>
    <w:p w14:paraId="729A37AC">
      <w:pPr>
        <w:jc w:val="center"/>
        <w:rPr>
          <w:rFonts w:hint="eastAsia" w:eastAsia="等线"/>
          <w:lang w:eastAsia="zh-CN"/>
        </w:rPr>
      </w:pPr>
      <w:r>
        <w:rPr>
          <w:rFonts w:hint="eastAsia" w:eastAsia="等线"/>
          <w:lang w:eastAsia="zh-CN"/>
        </w:rPr>
        <w:drawing>
          <wp:inline distT="0" distB="0" distL="114300" distR="114300">
            <wp:extent cx="5922010" cy="3100070"/>
            <wp:effectExtent l="0" t="0" r="2540" b="5080"/>
            <wp:docPr id="5" name="图片 5" descr="0297b4b266d5291344fd5026cb594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297b4b266d5291344fd5026cb594b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201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2811E">
      <w:pPr>
        <w:jc w:val="center"/>
        <w:rPr>
          <w:rFonts w:hint="eastAsia" w:eastAsia="等线"/>
          <w:lang w:eastAsia="zh-CN"/>
        </w:rPr>
      </w:pPr>
    </w:p>
    <w:p w14:paraId="5AEB1239">
      <w:pPr>
        <w:jc w:val="center"/>
        <w:rPr>
          <w:rFonts w:hint="eastAsia" w:eastAsia="等线"/>
          <w:lang w:eastAsia="zh-CN"/>
        </w:rPr>
      </w:pPr>
      <w:r>
        <w:rPr>
          <w:rFonts w:hint="eastAsia" w:eastAsia="等线"/>
          <w:lang w:eastAsia="zh-CN"/>
        </w:rPr>
        <w:drawing>
          <wp:inline distT="0" distB="0" distL="114300" distR="114300">
            <wp:extent cx="5911215" cy="2740660"/>
            <wp:effectExtent l="0" t="0" r="13335" b="2540"/>
            <wp:docPr id="9" name="图片 9" descr="be42d86fbb11e5ad57ef5e3caf2e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be42d86fbb11e5ad57ef5e3caf2e04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1215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A9333">
      <w:pPr>
        <w:jc w:val="center"/>
        <w:rPr>
          <w:rFonts w:hint="eastAsia" w:eastAsia="等线"/>
          <w:lang w:eastAsia="zh-CN"/>
        </w:rPr>
      </w:pPr>
    </w:p>
    <w:p w14:paraId="168351E3">
      <w:pPr>
        <w:jc w:val="center"/>
        <w:rPr>
          <w:rFonts w:hint="eastAsia" w:eastAsia="等线"/>
          <w:lang w:eastAsia="zh-CN"/>
        </w:rPr>
      </w:pPr>
      <w:r>
        <w:rPr>
          <w:rFonts w:hint="eastAsia" w:eastAsia="等线"/>
          <w:lang w:eastAsia="zh-CN"/>
        </w:rPr>
        <w:drawing>
          <wp:inline distT="0" distB="0" distL="114300" distR="114300">
            <wp:extent cx="6053455" cy="1232535"/>
            <wp:effectExtent l="0" t="0" r="4445" b="5715"/>
            <wp:docPr id="8" name="图片 8" descr="adeebc629f5abd248ab87cc4597e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deebc629f5abd248ab87cc4597e008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87E1F">
      <w:pPr>
        <w:jc w:val="center"/>
      </w:pPr>
      <w:r>
        <w:drawing>
          <wp:inline distT="0" distB="0" distL="0" distR="0">
            <wp:extent cx="5575935" cy="2720975"/>
            <wp:effectExtent l="0" t="0" r="571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F3D8A">
      <w:pPr>
        <w:jc w:val="center"/>
        <w:rPr>
          <w:rFonts w:hint="eastAsia" w:eastAsia="等线"/>
          <w:lang w:eastAsia="zh-CN"/>
        </w:rPr>
      </w:pPr>
    </w:p>
    <w:p w14:paraId="433A8FBD">
      <w:pPr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5270500" cy="1231900"/>
            <wp:effectExtent l="0" t="0" r="635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7BB3B">
      <w:pPr>
        <w:jc w:val="center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图2.自主选课主要界面</w:t>
      </w:r>
    </w:p>
    <w:p w14:paraId="5A9CF49C">
      <w:pPr>
        <w:adjustRightInd w:val="0"/>
        <w:snapToGrid w:val="0"/>
        <w:spacing w:line="360" w:lineRule="auto"/>
        <w:ind w:firstLine="482" w:firstLineChars="200"/>
        <w:jc w:val="left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b/>
          <w:sz w:val="24"/>
          <w:szCs w:val="24"/>
        </w:rPr>
        <w:t>1</w:t>
      </w:r>
      <w:r>
        <w:rPr>
          <w:rFonts w:hint="eastAsia" w:ascii="仿宋" w:hAnsi="仿宋" w:eastAsia="仿宋"/>
          <w:b/>
          <w:sz w:val="24"/>
          <w:szCs w:val="24"/>
        </w:rPr>
        <w:t>）</w:t>
      </w:r>
      <w:r>
        <w:rPr>
          <w:rFonts w:hint="eastAsia" w:ascii="仿宋" w:hAnsi="仿宋" w:eastAsia="仿宋"/>
          <w:sz w:val="24"/>
          <w:szCs w:val="24"/>
        </w:rPr>
        <w:t>上方的“条件筛选区域”，指学生可选择或输入指定的条件对可选课程进行过滤。</w:t>
      </w:r>
    </w:p>
    <w:p w14:paraId="2F56E747">
      <w:pPr>
        <w:adjustRightInd w:val="0"/>
        <w:snapToGrid w:val="0"/>
        <w:spacing w:line="360" w:lineRule="auto"/>
        <w:ind w:firstLine="482" w:firstLineChars="200"/>
        <w:jc w:val="left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b/>
          <w:sz w:val="24"/>
          <w:szCs w:val="24"/>
        </w:rPr>
        <w:t>2</w:t>
      </w:r>
      <w:r>
        <w:rPr>
          <w:rFonts w:hint="eastAsia" w:ascii="仿宋" w:hAnsi="仿宋" w:eastAsia="仿宋"/>
          <w:b/>
          <w:sz w:val="24"/>
          <w:szCs w:val="24"/>
        </w:rPr>
        <w:t>）</w:t>
      </w:r>
      <w:r>
        <w:rPr>
          <w:rFonts w:hint="eastAsia" w:ascii="仿宋" w:hAnsi="仿宋" w:eastAsia="仿宋"/>
          <w:sz w:val="24"/>
          <w:szCs w:val="24"/>
        </w:rPr>
        <w:t>主修课程、</w:t>
      </w:r>
      <w:bookmarkStart w:id="10" w:name="OLE_LINK3"/>
      <w:bookmarkStart w:id="11" w:name="OLE_LINK1"/>
      <w:bookmarkStart w:id="12" w:name="OLE_LINK2"/>
      <w:r>
        <w:rPr>
          <w:rFonts w:hint="eastAsia" w:ascii="仿宋" w:hAnsi="仿宋" w:eastAsia="仿宋"/>
          <w:sz w:val="24"/>
          <w:szCs w:val="24"/>
        </w:rPr>
        <w:t>板块（体育）</w:t>
      </w:r>
      <w:bookmarkEnd w:id="10"/>
      <w:bookmarkEnd w:id="11"/>
      <w:bookmarkEnd w:id="12"/>
      <w:r>
        <w:rPr>
          <w:rFonts w:hint="eastAsia" w:ascii="仿宋" w:hAnsi="仿宋" w:eastAsia="仿宋"/>
          <w:sz w:val="24"/>
          <w:szCs w:val="24"/>
          <w:lang w:eastAsia="zh-CN"/>
        </w:rPr>
        <w:t>、板块（四史课程）、</w:t>
      </w:r>
      <w:r>
        <w:rPr>
          <w:rFonts w:hint="eastAsia" w:ascii="仿宋" w:hAnsi="仿宋" w:eastAsia="仿宋"/>
          <w:sz w:val="24"/>
          <w:szCs w:val="24"/>
        </w:rPr>
        <w:t>通识类选修课</w:t>
      </w:r>
      <w:r>
        <w:rPr>
          <w:rFonts w:hint="eastAsia" w:ascii="仿宋" w:hAnsi="仿宋" w:eastAsia="仿宋"/>
          <w:sz w:val="24"/>
          <w:szCs w:val="24"/>
          <w:lang w:eastAsia="zh-CN"/>
        </w:rPr>
        <w:t>四</w:t>
      </w:r>
      <w:r>
        <w:rPr>
          <w:rFonts w:hint="eastAsia" w:ascii="仿宋" w:hAnsi="仿宋" w:eastAsia="仿宋"/>
          <w:sz w:val="24"/>
          <w:szCs w:val="24"/>
        </w:rPr>
        <w:t>个选项卡介绍。</w:t>
      </w:r>
    </w:p>
    <w:p w14:paraId="5335256F">
      <w:pPr>
        <w:adjustRightInd w:val="0"/>
        <w:snapToGrid w:val="0"/>
        <w:spacing w:line="360" w:lineRule="auto"/>
        <w:ind w:firstLine="566" w:firstLineChars="236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各选项卡的出现受选课开放影响，如某个时间段只开放了一个系列选课，则只显示该系列选项卡，且只显示当前可选课程，</w:t>
      </w:r>
      <w:r>
        <w:rPr>
          <w:rFonts w:hint="eastAsia" w:ascii="仿宋" w:hAnsi="仿宋" w:eastAsia="仿宋"/>
          <w:sz w:val="24"/>
          <w:szCs w:val="24"/>
          <w:u w:val="single"/>
        </w:rPr>
        <w:t>注意：默认是不显示可选课程（教学班）信息，务必要点击上方的“查询”键。</w:t>
      </w:r>
    </w:p>
    <w:p w14:paraId="2468D2F7">
      <w:pPr>
        <w:numPr>
          <w:ilvl w:val="0"/>
          <w:numId w:val="4"/>
        </w:numPr>
        <w:adjustRightInd w:val="0"/>
        <w:snapToGrid w:val="0"/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主修课程选项卡</w:t>
      </w:r>
      <w:r>
        <w:rPr>
          <w:rFonts w:hint="eastAsia" w:ascii="仿宋" w:hAnsi="仿宋" w:eastAsia="仿宋"/>
          <w:sz w:val="24"/>
          <w:szCs w:val="24"/>
        </w:rPr>
        <w:t>，可选</w:t>
      </w:r>
      <w:r>
        <w:rPr>
          <w:rFonts w:hint="eastAsia" w:ascii="仿宋" w:hAnsi="仿宋" w:eastAsia="仿宋"/>
          <w:sz w:val="24"/>
          <w:szCs w:val="24"/>
          <w:highlight w:val="yellow"/>
        </w:rPr>
        <w:t>本专业（或其他专业）的专业课</w:t>
      </w:r>
      <w:r>
        <w:rPr>
          <w:rFonts w:hint="eastAsia" w:ascii="仿宋" w:hAnsi="仿宋" w:eastAsia="仿宋"/>
          <w:sz w:val="24"/>
          <w:szCs w:val="24"/>
        </w:rPr>
        <w:t>。</w:t>
      </w:r>
    </w:p>
    <w:p w14:paraId="624BBBAA">
      <w:pPr>
        <w:numPr>
          <w:ilvl w:val="0"/>
          <w:numId w:val="4"/>
        </w:numPr>
        <w:adjustRightInd w:val="0"/>
        <w:snapToGrid w:val="0"/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</w:rPr>
        <w:t>板块（体育）选项卡</w:t>
      </w:r>
      <w:r>
        <w:rPr>
          <w:rFonts w:hint="eastAsia" w:ascii="仿宋" w:hAnsi="仿宋" w:eastAsia="仿宋"/>
          <w:sz w:val="24"/>
          <w:szCs w:val="24"/>
        </w:rPr>
        <w:t>：可选相应学年学期的</w:t>
      </w:r>
      <w:r>
        <w:rPr>
          <w:rFonts w:hint="eastAsia" w:ascii="仿宋" w:hAnsi="仿宋" w:eastAsia="仿宋"/>
          <w:sz w:val="24"/>
          <w:szCs w:val="24"/>
          <w:highlight w:val="yellow"/>
        </w:rPr>
        <w:t>大学体育系列课程</w:t>
      </w:r>
      <w:r>
        <w:rPr>
          <w:rFonts w:hint="eastAsia" w:ascii="仿宋" w:hAnsi="仿宋" w:eastAsia="仿宋"/>
          <w:sz w:val="24"/>
          <w:szCs w:val="24"/>
        </w:rPr>
        <w:t>。</w:t>
      </w:r>
    </w:p>
    <w:p w14:paraId="553B90B4">
      <w:pPr>
        <w:numPr>
          <w:ilvl w:val="0"/>
          <w:numId w:val="4"/>
        </w:numPr>
        <w:adjustRightInd w:val="0"/>
        <w:snapToGrid w:val="0"/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eastAsia="zh-CN"/>
        </w:rPr>
        <w:t>板块（四史课程）选项卡：可选四史系列课程。</w:t>
      </w:r>
      <w:bookmarkStart w:id="15" w:name="_GoBack"/>
      <w:bookmarkEnd w:id="15"/>
    </w:p>
    <w:p w14:paraId="0A5A4E45">
      <w:pPr>
        <w:numPr>
          <w:numId w:val="0"/>
        </w:numPr>
        <w:adjustRightInd w:val="0"/>
        <w:snapToGrid w:val="0"/>
        <w:spacing w:line="360" w:lineRule="auto"/>
        <w:ind w:firstLine="482" w:firstLineChars="200"/>
        <w:jc w:val="left"/>
        <w:rPr>
          <w:rFonts w:hint="eastAsia"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/>
          <w:b/>
          <w:sz w:val="24"/>
          <w:szCs w:val="24"/>
        </w:rPr>
        <w:t>）</w:t>
      </w:r>
      <w:r>
        <w:rPr>
          <w:rFonts w:hint="eastAsia" w:ascii="仿宋" w:hAnsi="仿宋" w:eastAsia="仿宋"/>
          <w:sz w:val="24"/>
          <w:szCs w:val="24"/>
        </w:rPr>
        <w:t>右侧的学生选课个人课表：指选课时，选择了某门课程之后，对学生个人课表的实时影响，</w:t>
      </w:r>
      <w:r>
        <w:rPr>
          <w:rFonts w:hint="eastAsia" w:ascii="仿宋" w:hAnsi="仿宋" w:eastAsia="仿宋"/>
          <w:b/>
          <w:sz w:val="24"/>
          <w:szCs w:val="24"/>
        </w:rPr>
        <w:t>此处不代表最终的学生个人课表。</w:t>
      </w:r>
    </w:p>
    <w:p w14:paraId="03D9EE5D">
      <w:pPr>
        <w:numPr>
          <w:numId w:val="0"/>
        </w:numPr>
        <w:adjustRightInd w:val="0"/>
        <w:snapToGrid w:val="0"/>
        <w:spacing w:line="360" w:lineRule="auto"/>
        <w:ind w:firstLine="482" w:firstLineChars="200"/>
        <w:jc w:val="left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b/>
          <w:sz w:val="24"/>
          <w:szCs w:val="24"/>
        </w:rPr>
        <w:t>4</w:t>
      </w:r>
      <w:r>
        <w:rPr>
          <w:rFonts w:hint="eastAsia" w:ascii="仿宋" w:hAnsi="仿宋" w:eastAsia="仿宋"/>
          <w:b/>
          <w:sz w:val="24"/>
          <w:szCs w:val="24"/>
        </w:rPr>
        <w:t>）选定某门课程，每门课程的右侧均有“选课”按钮，点击表示选择该门课程。</w:t>
      </w:r>
    </w:p>
    <w:p w14:paraId="2AFED3FD">
      <w:pPr>
        <w:adjustRightInd w:val="0"/>
        <w:snapToGrid w:val="0"/>
        <w:spacing w:line="360" w:lineRule="auto"/>
        <w:ind w:firstLine="482" w:firstLineChars="200"/>
        <w:jc w:val="left"/>
        <w:outlineLvl w:val="2"/>
        <w:rPr>
          <w:rFonts w:hint="eastAsia" w:ascii="仿宋" w:hAnsi="仿宋" w:eastAsia="仿宋"/>
          <w:b/>
          <w:sz w:val="24"/>
          <w:szCs w:val="24"/>
          <w:u w:val="single"/>
        </w:rPr>
      </w:pPr>
      <w:bookmarkStart w:id="13" w:name="_Toc532406060"/>
      <w:r>
        <w:rPr>
          <w:rFonts w:hint="eastAsia" w:ascii="仿宋" w:hAnsi="仿宋" w:eastAsia="仿宋"/>
          <w:b/>
          <w:sz w:val="24"/>
          <w:szCs w:val="24"/>
          <w:u w:val="single"/>
        </w:rPr>
        <w:t>3</w:t>
      </w:r>
      <w:r>
        <w:rPr>
          <w:rFonts w:ascii="仿宋" w:hAnsi="仿宋" w:eastAsia="仿宋"/>
          <w:b/>
          <w:sz w:val="24"/>
          <w:szCs w:val="24"/>
          <w:u w:val="single"/>
        </w:rPr>
        <w:t>.</w:t>
      </w:r>
      <w:r>
        <w:rPr>
          <w:rFonts w:hint="eastAsia" w:ascii="仿宋" w:hAnsi="仿宋" w:eastAsia="仿宋"/>
          <w:b/>
          <w:sz w:val="24"/>
          <w:szCs w:val="24"/>
          <w:u w:val="single"/>
          <w:lang w:val="en-US" w:eastAsia="zh-CN"/>
        </w:rPr>
        <w:t>2</w:t>
      </w:r>
      <w:r>
        <w:rPr>
          <w:rFonts w:ascii="仿宋" w:hAnsi="仿宋" w:eastAsia="仿宋"/>
          <w:b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/>
          <w:b/>
          <w:sz w:val="24"/>
          <w:szCs w:val="24"/>
          <w:u w:val="single"/>
        </w:rPr>
        <w:t>退课</w:t>
      </w:r>
      <w:bookmarkEnd w:id="13"/>
    </w:p>
    <w:p w14:paraId="354BCF77">
      <w:pPr>
        <w:adjustRightInd w:val="0"/>
        <w:snapToGrid w:val="0"/>
        <w:spacing w:line="360" w:lineRule="auto"/>
        <w:ind w:firstLine="424" w:firstLineChars="177"/>
        <w:jc w:val="left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选课成功后该按钮变成退选按钮。点击退选按钮，跳出确认提示，点击确认后即可退选成功。</w:t>
      </w:r>
    </w:p>
    <w:p w14:paraId="177D38BA">
      <w:pPr>
        <w:jc w:val="center"/>
        <w:rPr>
          <w:rFonts w:hint="eastAsia" w:ascii="仿宋" w:hAnsi="仿宋" w:eastAsia="仿宋"/>
          <w:b/>
          <w:sz w:val="24"/>
          <w:szCs w:val="24"/>
        </w:rPr>
      </w:pPr>
      <w:r>
        <w:rPr>
          <w:rFonts w:hint="eastAsia"/>
        </w:rPr>
        <w:drawing>
          <wp:inline distT="0" distB="0" distL="0" distR="0">
            <wp:extent cx="5003800" cy="2247265"/>
            <wp:effectExtent l="0" t="0" r="6350" b="635"/>
            <wp:docPr id="6" name="图片 6" descr="2014-11-14 14 09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14-11-14 14 09 5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9019B">
      <w:pPr>
        <w:adjustRightInd w:val="0"/>
        <w:snapToGrid w:val="0"/>
        <w:spacing w:before="312" w:beforeLines="100" w:after="312" w:afterLines="100" w:line="360" w:lineRule="auto"/>
        <w:ind w:firstLine="424" w:firstLineChars="176"/>
        <w:jc w:val="left"/>
        <w:outlineLvl w:val="2"/>
        <w:rPr>
          <w:rFonts w:ascii="仿宋" w:hAnsi="仿宋" w:eastAsia="仿宋"/>
          <w:b/>
          <w:sz w:val="24"/>
          <w:szCs w:val="24"/>
          <w:u w:val="single"/>
        </w:rPr>
      </w:pPr>
      <w:bookmarkStart w:id="14" w:name="_Toc532406061"/>
      <w:r>
        <w:rPr>
          <w:rFonts w:hint="eastAsia" w:ascii="仿宋" w:hAnsi="仿宋" w:eastAsia="仿宋"/>
          <w:b/>
          <w:sz w:val="24"/>
          <w:szCs w:val="24"/>
          <w:u w:val="single"/>
        </w:rPr>
        <w:t>3.</w:t>
      </w:r>
      <w:r>
        <w:rPr>
          <w:rFonts w:hint="eastAsia" w:ascii="仿宋" w:hAnsi="仿宋" w:eastAsia="仿宋"/>
          <w:b/>
          <w:sz w:val="24"/>
          <w:szCs w:val="24"/>
          <w:u w:val="single"/>
          <w:lang w:val="en-US" w:eastAsia="zh-CN"/>
        </w:rPr>
        <w:t>3</w:t>
      </w:r>
      <w:r>
        <w:rPr>
          <w:rFonts w:ascii="仿宋" w:hAnsi="仿宋" w:eastAsia="仿宋"/>
          <w:b/>
          <w:sz w:val="24"/>
          <w:szCs w:val="24"/>
          <w:u w:val="single"/>
        </w:rPr>
        <w:t xml:space="preserve"> </w:t>
      </w:r>
      <w:r>
        <w:rPr>
          <w:rFonts w:hint="eastAsia" w:ascii="仿宋" w:hAnsi="仿宋" w:eastAsia="仿宋"/>
          <w:b/>
          <w:sz w:val="24"/>
          <w:szCs w:val="24"/>
          <w:u w:val="single"/>
        </w:rPr>
        <w:t>个人课表或筛选结果查询</w:t>
      </w:r>
      <w:bookmarkEnd w:id="14"/>
    </w:p>
    <w:p w14:paraId="5F510FFC">
      <w:pPr>
        <w:adjustRightInd w:val="0"/>
        <w:snapToGrid w:val="0"/>
        <w:spacing w:line="360" w:lineRule="auto"/>
        <w:ind w:firstLine="424" w:firstLineChars="177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有两种方式。</w:t>
      </w:r>
    </w:p>
    <w:p w14:paraId="32DDAA49">
      <w:pPr>
        <w:numPr>
          <w:ilvl w:val="0"/>
          <w:numId w:val="5"/>
        </w:numPr>
        <w:adjustRightInd w:val="0"/>
        <w:snapToGrid w:val="0"/>
        <w:spacing w:line="360" w:lineRule="auto"/>
        <w:ind w:left="0" w:firstLine="426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选择“选课”菜单下的“学生选课情况查询”，操作路径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下图</w:t>
      </w:r>
      <w:r>
        <w:rPr>
          <w:rFonts w:hint="eastAsia" w:ascii="仿宋" w:hAnsi="仿宋" w:eastAsia="仿宋"/>
          <w:sz w:val="24"/>
          <w:szCs w:val="24"/>
        </w:rPr>
        <w:t>所示，在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下图</w:t>
      </w:r>
      <w:r>
        <w:rPr>
          <w:rFonts w:hint="eastAsia" w:ascii="仿宋" w:hAnsi="仿宋" w:eastAsia="仿宋"/>
          <w:sz w:val="24"/>
          <w:szCs w:val="24"/>
        </w:rPr>
        <w:t>中只有选课状态为“已选上”的才可代表最终的结果。且在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下</w:t>
      </w:r>
      <w:r>
        <w:rPr>
          <w:rFonts w:hint="eastAsia" w:ascii="仿宋" w:hAnsi="仿宋" w:eastAsia="仿宋"/>
          <w:sz w:val="24"/>
          <w:szCs w:val="24"/>
        </w:rPr>
        <w:t>图中可以检索所选课程的各种状态，如：待筛选，被筛选，退课，已选上等等。</w:t>
      </w:r>
    </w:p>
    <w:p w14:paraId="6DDD0886">
      <w:pPr>
        <w:widowControl w:val="0"/>
        <w:numPr>
          <w:ilvl w:val="0"/>
          <w:numId w:val="0"/>
        </w:numPr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268595" cy="2022475"/>
            <wp:effectExtent l="0" t="0" r="8255" b="1587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22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13CFB7">
      <w:pPr>
        <w:adjustRightInd w:val="0"/>
        <w:snapToGrid w:val="0"/>
        <w:spacing w:line="360" w:lineRule="auto"/>
        <w:jc w:val="both"/>
        <w:rPr>
          <w:rFonts w:hint="eastAsia" w:ascii="仿宋" w:hAnsi="仿宋" w:eastAsia="仿宋"/>
          <w:sz w:val="24"/>
          <w:szCs w:val="24"/>
          <w:lang w:val="en-US" w:eastAsia="zh-CN"/>
        </w:rPr>
      </w:pPr>
    </w:p>
    <w:p w14:paraId="50CA5137">
      <w:pPr>
        <w:adjustRightInd w:val="0"/>
        <w:snapToGrid w:val="0"/>
        <w:spacing w:line="360" w:lineRule="auto"/>
        <w:jc w:val="both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下</w:t>
      </w:r>
      <w:r>
        <w:rPr>
          <w:rFonts w:hint="eastAsia" w:ascii="仿宋" w:hAnsi="仿宋" w:eastAsia="仿宋"/>
          <w:sz w:val="24"/>
          <w:szCs w:val="24"/>
        </w:rPr>
        <w:t>图.学生选课结果查询的第二种方式</w:t>
      </w:r>
    </w:p>
    <w:p w14:paraId="73B7EA80">
      <w:r>
        <w:drawing>
          <wp:inline distT="0" distB="0" distL="114300" distR="114300">
            <wp:extent cx="5273675" cy="1265555"/>
            <wp:effectExtent l="0" t="0" r="9525" b="444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157" w:right="1179" w:bottom="1157" w:left="117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368263370"/>
      <w:docPartObj>
        <w:docPartGallery w:val="autotext"/>
      </w:docPartObj>
    </w:sdtPr>
    <w:sdtContent>
      <w:sdt>
        <w:sdtPr>
          <w:id w:val="636999062"/>
          <w:docPartObj>
            <w:docPartGallery w:val="autotext"/>
          </w:docPartObj>
        </w:sdtPr>
        <w:sdtContent>
          <w:p w14:paraId="116DC453">
            <w:pPr>
              <w:pStyle w:val="3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D79B9C4"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EC2F26">
    <w:pPr>
      <w:pStyle w:val="4"/>
      <w:jc w:val="left"/>
    </w:pPr>
    <w:r>
      <w:rPr>
        <w:rFonts w:hint="eastAsia"/>
      </w:rPr>
      <w:t>XS01【v3】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E2071F"/>
    <w:multiLevelType w:val="multilevel"/>
    <w:tmpl w:val="13E2071F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4F2F75F0"/>
    <w:multiLevelType w:val="multilevel"/>
    <w:tmpl w:val="4F2F75F0"/>
    <w:lvl w:ilvl="0" w:tentative="0">
      <w:start w:val="1"/>
      <w:numFmt w:val="decimal"/>
      <w:lvlText w:val="%1）"/>
      <w:lvlJc w:val="left"/>
      <w:pPr>
        <w:ind w:left="785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5" w:hanging="420"/>
      </w:pPr>
    </w:lvl>
    <w:lvl w:ilvl="2" w:tentative="0">
      <w:start w:val="1"/>
      <w:numFmt w:val="lowerRoman"/>
      <w:lvlText w:val="%3."/>
      <w:lvlJc w:val="right"/>
      <w:pPr>
        <w:ind w:left="1685" w:hanging="420"/>
      </w:pPr>
    </w:lvl>
    <w:lvl w:ilvl="3" w:tentative="0">
      <w:start w:val="1"/>
      <w:numFmt w:val="decimal"/>
      <w:lvlText w:val="%4."/>
      <w:lvlJc w:val="left"/>
      <w:pPr>
        <w:ind w:left="2105" w:hanging="420"/>
      </w:pPr>
    </w:lvl>
    <w:lvl w:ilvl="4" w:tentative="0">
      <w:start w:val="1"/>
      <w:numFmt w:val="lowerLetter"/>
      <w:lvlText w:val="%5)"/>
      <w:lvlJc w:val="left"/>
      <w:pPr>
        <w:ind w:left="2525" w:hanging="420"/>
      </w:pPr>
    </w:lvl>
    <w:lvl w:ilvl="5" w:tentative="0">
      <w:start w:val="1"/>
      <w:numFmt w:val="lowerRoman"/>
      <w:lvlText w:val="%6."/>
      <w:lvlJc w:val="right"/>
      <w:pPr>
        <w:ind w:left="2945" w:hanging="420"/>
      </w:pPr>
    </w:lvl>
    <w:lvl w:ilvl="6" w:tentative="0">
      <w:start w:val="1"/>
      <w:numFmt w:val="decimal"/>
      <w:lvlText w:val="%7."/>
      <w:lvlJc w:val="left"/>
      <w:pPr>
        <w:ind w:left="3365" w:hanging="420"/>
      </w:pPr>
    </w:lvl>
    <w:lvl w:ilvl="7" w:tentative="0">
      <w:start w:val="1"/>
      <w:numFmt w:val="lowerLetter"/>
      <w:lvlText w:val="%8)"/>
      <w:lvlJc w:val="left"/>
      <w:pPr>
        <w:ind w:left="3785" w:hanging="420"/>
      </w:pPr>
    </w:lvl>
    <w:lvl w:ilvl="8" w:tentative="0">
      <w:start w:val="1"/>
      <w:numFmt w:val="lowerRoman"/>
      <w:lvlText w:val="%9."/>
      <w:lvlJc w:val="right"/>
      <w:pPr>
        <w:ind w:left="4205" w:hanging="420"/>
      </w:pPr>
    </w:lvl>
  </w:abstractNum>
  <w:abstractNum w:abstractNumId="2">
    <w:nsid w:val="582D72F5"/>
    <w:multiLevelType w:val="multilevel"/>
    <w:tmpl w:val="582D72F5"/>
    <w:lvl w:ilvl="0" w:tentative="0">
      <w:start w:val="1"/>
      <w:numFmt w:val="decimal"/>
      <w:lvlText w:val="2.%1"/>
      <w:lvlJc w:val="left"/>
      <w:pPr>
        <w:ind w:left="725" w:hanging="36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05" w:hanging="420"/>
      </w:pPr>
    </w:lvl>
    <w:lvl w:ilvl="2" w:tentative="0">
      <w:start w:val="1"/>
      <w:numFmt w:val="lowerRoman"/>
      <w:lvlText w:val="%3."/>
      <w:lvlJc w:val="right"/>
      <w:pPr>
        <w:ind w:left="1625" w:hanging="420"/>
      </w:pPr>
    </w:lvl>
    <w:lvl w:ilvl="3" w:tentative="0">
      <w:start w:val="1"/>
      <w:numFmt w:val="decimal"/>
      <w:lvlText w:val="%4."/>
      <w:lvlJc w:val="left"/>
      <w:pPr>
        <w:ind w:left="2045" w:hanging="420"/>
      </w:pPr>
    </w:lvl>
    <w:lvl w:ilvl="4" w:tentative="0">
      <w:start w:val="1"/>
      <w:numFmt w:val="lowerLetter"/>
      <w:lvlText w:val="%5)"/>
      <w:lvlJc w:val="left"/>
      <w:pPr>
        <w:ind w:left="2465" w:hanging="420"/>
      </w:pPr>
    </w:lvl>
    <w:lvl w:ilvl="5" w:tentative="0">
      <w:start w:val="1"/>
      <w:numFmt w:val="lowerRoman"/>
      <w:lvlText w:val="%6."/>
      <w:lvlJc w:val="right"/>
      <w:pPr>
        <w:ind w:left="2885" w:hanging="420"/>
      </w:pPr>
    </w:lvl>
    <w:lvl w:ilvl="6" w:tentative="0">
      <w:start w:val="1"/>
      <w:numFmt w:val="decimal"/>
      <w:lvlText w:val="%7."/>
      <w:lvlJc w:val="left"/>
      <w:pPr>
        <w:ind w:left="3305" w:hanging="420"/>
      </w:pPr>
    </w:lvl>
    <w:lvl w:ilvl="7" w:tentative="0">
      <w:start w:val="1"/>
      <w:numFmt w:val="lowerLetter"/>
      <w:lvlText w:val="%8)"/>
      <w:lvlJc w:val="left"/>
      <w:pPr>
        <w:ind w:left="3725" w:hanging="420"/>
      </w:pPr>
    </w:lvl>
    <w:lvl w:ilvl="8" w:tentative="0">
      <w:start w:val="1"/>
      <w:numFmt w:val="lowerRoman"/>
      <w:lvlText w:val="%9."/>
      <w:lvlJc w:val="right"/>
      <w:pPr>
        <w:ind w:left="4145" w:hanging="420"/>
      </w:pPr>
    </w:lvl>
  </w:abstractNum>
  <w:abstractNum w:abstractNumId="3">
    <w:nsid w:val="718A1125"/>
    <w:multiLevelType w:val="multilevel"/>
    <w:tmpl w:val="718A1125"/>
    <w:lvl w:ilvl="0" w:tentative="0">
      <w:start w:val="1"/>
      <w:numFmt w:val="japaneseCounting"/>
      <w:lvlText w:val="%1、"/>
      <w:lvlJc w:val="left"/>
      <w:pPr>
        <w:ind w:left="845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05" w:hanging="420"/>
      </w:pPr>
    </w:lvl>
    <w:lvl w:ilvl="2" w:tentative="0">
      <w:start w:val="1"/>
      <w:numFmt w:val="lowerRoman"/>
      <w:lvlText w:val="%3."/>
      <w:lvlJc w:val="right"/>
      <w:pPr>
        <w:ind w:left="1625" w:hanging="420"/>
      </w:pPr>
    </w:lvl>
    <w:lvl w:ilvl="3" w:tentative="0">
      <w:start w:val="1"/>
      <w:numFmt w:val="decimal"/>
      <w:lvlText w:val="%4."/>
      <w:lvlJc w:val="left"/>
      <w:pPr>
        <w:ind w:left="2045" w:hanging="420"/>
      </w:pPr>
    </w:lvl>
    <w:lvl w:ilvl="4" w:tentative="0">
      <w:start w:val="1"/>
      <w:numFmt w:val="lowerLetter"/>
      <w:lvlText w:val="%5)"/>
      <w:lvlJc w:val="left"/>
      <w:pPr>
        <w:ind w:left="2465" w:hanging="420"/>
      </w:pPr>
    </w:lvl>
    <w:lvl w:ilvl="5" w:tentative="0">
      <w:start w:val="1"/>
      <w:numFmt w:val="lowerRoman"/>
      <w:lvlText w:val="%6."/>
      <w:lvlJc w:val="right"/>
      <w:pPr>
        <w:ind w:left="2885" w:hanging="420"/>
      </w:pPr>
    </w:lvl>
    <w:lvl w:ilvl="6" w:tentative="0">
      <w:start w:val="1"/>
      <w:numFmt w:val="decimal"/>
      <w:lvlText w:val="%7."/>
      <w:lvlJc w:val="left"/>
      <w:pPr>
        <w:ind w:left="3305" w:hanging="420"/>
      </w:pPr>
    </w:lvl>
    <w:lvl w:ilvl="7" w:tentative="0">
      <w:start w:val="1"/>
      <w:numFmt w:val="lowerLetter"/>
      <w:lvlText w:val="%8)"/>
      <w:lvlJc w:val="left"/>
      <w:pPr>
        <w:ind w:left="3725" w:hanging="420"/>
      </w:pPr>
    </w:lvl>
    <w:lvl w:ilvl="8" w:tentative="0">
      <w:start w:val="1"/>
      <w:numFmt w:val="lowerRoman"/>
      <w:lvlText w:val="%9."/>
      <w:lvlJc w:val="right"/>
      <w:pPr>
        <w:ind w:left="4145" w:hanging="420"/>
      </w:pPr>
    </w:lvl>
  </w:abstractNum>
  <w:abstractNum w:abstractNumId="4">
    <w:nsid w:val="7AB70C29"/>
    <w:multiLevelType w:val="multilevel"/>
    <w:tmpl w:val="7AB70C29"/>
    <w:lvl w:ilvl="0" w:tentative="0">
      <w:start w:val="1"/>
      <w:numFmt w:val="bullet"/>
      <w:lvlText w:val=""/>
      <w:lvlJc w:val="left"/>
      <w:pPr>
        <w:ind w:left="785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05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2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4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6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0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2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45" w:hanging="420"/>
      </w:pPr>
      <w:rPr>
        <w:rFonts w:hint="default" w:ascii="Wingdings" w:hAnsi="Wingdings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YyMWMzNDJjOTAyMDExZGMzOGM0NDRjOGFhZTg4ZmEifQ=="/>
  </w:docVars>
  <w:rsids>
    <w:rsidRoot w:val="46AE771E"/>
    <w:rsid w:val="0E891EC0"/>
    <w:rsid w:val="127502E4"/>
    <w:rsid w:val="12F94FCB"/>
    <w:rsid w:val="160E21CF"/>
    <w:rsid w:val="1DEB6A6A"/>
    <w:rsid w:val="23CB116F"/>
    <w:rsid w:val="24A12B07"/>
    <w:rsid w:val="2B112F4D"/>
    <w:rsid w:val="30F04E48"/>
    <w:rsid w:val="32412AFF"/>
    <w:rsid w:val="342A360F"/>
    <w:rsid w:val="347F4209"/>
    <w:rsid w:val="35071485"/>
    <w:rsid w:val="3A097AB9"/>
    <w:rsid w:val="3A8D2A67"/>
    <w:rsid w:val="41C56B81"/>
    <w:rsid w:val="46AE771E"/>
    <w:rsid w:val="4954425A"/>
    <w:rsid w:val="49C91458"/>
    <w:rsid w:val="569F48FA"/>
    <w:rsid w:val="5FE25128"/>
    <w:rsid w:val="5FF217E7"/>
    <w:rsid w:val="625B49E8"/>
    <w:rsid w:val="63590869"/>
    <w:rsid w:val="64582EDA"/>
    <w:rsid w:val="65E816C2"/>
    <w:rsid w:val="664D2FC6"/>
    <w:rsid w:val="6A6E4160"/>
    <w:rsid w:val="6D2D466E"/>
    <w:rsid w:val="76604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paragraph" w:styleId="2">
    <w:name w:val="heading 6"/>
    <w:basedOn w:val="1"/>
    <w:next w:val="1"/>
    <w:autoRedefine/>
    <w:qFormat/>
    <w:uiPriority w:val="0"/>
    <w:pPr>
      <w:spacing w:before="100" w:beforeAutospacing="1" w:after="100" w:afterAutospacing="1"/>
      <w:jc w:val="left"/>
      <w:outlineLvl w:val="5"/>
    </w:pPr>
    <w:rPr>
      <w:rFonts w:hint="eastAsia" w:ascii="宋体" w:hAnsi="宋体" w:eastAsia="宋体" w:cs="宋体"/>
      <w:b/>
      <w:kern w:val="0"/>
      <w:sz w:val="15"/>
      <w:szCs w:val="15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autoRedefine/>
    <w:unhideWhenUsed/>
    <w:qFormat/>
    <w:uiPriority w:val="99"/>
    <w:rPr>
      <w:color w:val="0563C1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jpe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1047</Words>
  <Characters>1098</Characters>
  <Lines>0</Lines>
  <Paragraphs>0</Paragraphs>
  <TotalTime>6</TotalTime>
  <ScaleCrop>false</ScaleCrop>
  <LinksUpToDate>false</LinksUpToDate>
  <CharactersWithSpaces>1105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2018-12-18T08:18:00Z</dcterms:created>
  <dc:creator>Administrator</dc:creator>
  <cp:lastModifiedBy>慧慧</cp:lastModifiedBy>
  <cp:lastPrinted>2024-09-25T03:11:00Z</cp:lastPrinted>
  <dcterms:modified xsi:type="dcterms:W3CDTF">2026-07-14T03:10:43Z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60ACBA31EEAD45C8AB8022B4AD039A66_13</vt:lpwstr>
  </property>
  <property fmtid="{D5CDD505-2E9C-101B-9397-08002B2CF9AE}" pid="4" name="KSOTemplateDocerSaveRecord">
    <vt:lpwstr>eyJoZGlkIjoiNDYyMWMzNDJjOTAyMDExZGMzOGM0NDRjOGFhZTg4ZmEiLCJ1c2VySWQiOiIxMTc2OTI0OTY1In0=</vt:lpwstr>
  </property>
</Properties>
</file>