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723" w:firstLineChars="225"/>
        <w:jc w:val="center"/>
        <w:textAlignment w:val="auto"/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惠州学院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撰写规范与格式要求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25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(2024年修订）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25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为保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障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毕业论文（设计）的撰写质量，根据《学位论文编写规则》（GB/T 7713.1-2006）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的规定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特修订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本科生毕业论文（设计）撰写规范与格式要求。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黑体" w:hAnsi="黑体" w:eastAsia="黑体" w:cs="黑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一、写作规范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毕业论文应包括论文封面、目录、中英文摘要、论文正文、参考文献等主要组成部分，具体要求如下：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）论文封面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     一律采用教务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部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统一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制定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的专用封面。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（二）目录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     目录页每行均由标题名称和页码组成，包括章、节、参考文献、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致谢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附录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（三）题目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题目是反映论文内容的最恰当、最简明的词语组合。题目语意未尽可用副标题补充说明论文中的特定内容。要求如下：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题目准确得体并能准确表达论文的中心内容，恰当反映研究的范围和深度，不能使用笼统的、泛指性很强的词语和华丽不实的词藻。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题目应简明，使读者印象鲜明，便于记忆和引用。题目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一般不超过20个汉字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。题目所用词语必须有助于选定关键词和编制题录、索引等二次文献，以便为检索提供特定的实用信息。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题目应避免使用非共知共用的缩略词、字符、代号等。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（四）摘要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摘要是对论文内容不加注释和评论的简明归纳，应包括研究工作的目的、方法和结论，重点是结果和结论。用语要规范，一般不用公式和非规范符号术语，不出现图、表、化学结构式等。采用第三人称撰写，一般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在300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左右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论文应附有英文题目和英文摘要以便于进行国际交流。英文摘要应明确、简练，其内容包括研究目的、方法、主要结果和结论。英文摘要应与中文摘要相一致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键词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关键词应体现论文特色,具有语义性,在论文中有明确的出处。并应尽量采用《汉语主题词表》或各专业主题词表提供的规范词。每篇论文中应列出3～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个关键词，还应列出与中文对应的英文关键词（Key words）。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 正文是论文的核心部分，占主要篇幅，论文的论点、论据和论证都在这里阐述。由于论文作者的研究工作涉及的学科、研究对象和研究方法和结果表达方式等差异很大，所以对正文的撰写内容不作统一规定。但总的思路和结构安排应当符合“提出论点，通过论据或数据对论点加以论证”这一共同的要求。正文应达到观点正确，结构完整、合乎逻辑、符合学术规范，无重大疏漏或明显的片面性。其他具体要求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1.主题的要求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主题有新意，有科学研究或实际应用价值；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主题集中，一篇论文只有一个中心，要使主题集中，凡与本文主题无关或关系不大的内容不应涉及，不过多阐述，否则会使问题繁杂，脉络不清，主题淡化；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主题鲜明，论文的中心思想地位突出，除了在论文的题目、摘要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部分明确地点出主题外，在正文部分更要注意突出主题。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2.结构的要求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不同内容的正文，应灵活处理，采用合适的结构顺序和结构层次，组织好段落，安排好材料。 章、节、小节等分别以“1”、“1.1”、“1.1.1”、“1.1.2”、“（1）”或“一、”、“（一）”、“1.”、“（1）”等数字以树层次格式依次标出。 章、节、小节所采用的格式须前后统一，不混杂使用。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正文写作时要注意抓住基本观点。数据的采集、记录、整理、表达等均不应出现技术性的错误；分析论证和讨论问题时，避免含混不清，模棱两可，词不达意 ；不弄虚作假。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参考文献反映毕业论文 (设计)的科学依据和所依据材料的广博程度、可靠程度，反映作者尊重他人研究成果的严肃态度，并向读者提供有关信息的出处，是毕业论文 (设计)不可缺少的组成部分。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参考文献列出的，一般应限于作者直接阅读过的、毕业论文 (设计)利用的、发表在正式出版物上的文献。未公开发表的资料应采用注释的方式。参考文献的著录采用顺序编码制。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）致谢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致谢是作者对该论文（设计）的形成作过贡献的组织或个人的书面感谢。致谢语言要诚恳、恰当，致谢内容要实在、简短。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）附录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毕业论文（设计）有重要参考价值的内容，不宜放入正文的可编入附录。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黑体" w:hAnsi="黑体" w:eastAsia="黑体" w:cs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  <w:highlight w:val="none"/>
        </w:rPr>
        <w:t>二、格式要求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（一）字数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5" w:firstLineChars="225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除有特殊要求的专业外，毕业论文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正文字数文科类一般不少于8000字，理工科类不少于6000字，艺体类不少于5000字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。各专业可根据需要确定具体的文字和字数要求。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（二）字号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字体、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间距与行距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一级标题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小三号宋体加粗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二级标题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四号宋体加粗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三级标题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小四号宋体加粗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四级标题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小四号宋体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首行缩进2个字符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中文摘要标题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小三号黑体加粗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中文关键词标题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小三号黑体加粗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中文摘要、关键词内容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首行缩进2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个字符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英文摘要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标题：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小三号新罗马体加粗（Times New Roman）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居中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段前段后0.5行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关键词标题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小三号新罗马体加粗（Times New Roman）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英文摘要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关键词内容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四号新罗马体（Times New Roman）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首行缩进2个字符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目录标题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三号黑体加粗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目录一级标题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小四号宋体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目录二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级标题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小四号宋体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小四号宋体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首行缩进2个字符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注释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五号宋体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参考文献标题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小三号黑体加粗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参考文献内容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中文五号宋体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英文五号Times New Roman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固定行距20磅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致谢、附录标题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小三号黑体加粗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段前段后0.5行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致谢、附录内容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小四号宋体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两端对齐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首行缩进2个字符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页眉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号宋体、居中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摘要、目录页码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罗马数字连续编码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正文页码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阿拉伯数字连续编码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居中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表格序号与标题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序号与标题间空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居中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段前1行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段后为0行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图序号与标题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五号宋体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序号与标题间空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居中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段前0行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段后为1行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1.5倍行距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）关键词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摘要正文下方另起一行，左对齐缩进2个字符打印“关键词：”款项，每个关键词之间用“；”分开，最后一个关键词不打标点符号。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目录应另起一页，包括论文中的各级标题，按照“一……”、“（一）……”或“1……”、“1.1……”格式编写。目录只显示到三级标题。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）各级标题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正文各部分的标题应简明扼要，不使用标点符号。论文内文各大部分的标题用“一、二……（或1、2……）”，次级标题为“（一）、（二）……（或1.1、2.1……）”，三级标题用“1、2……（或1.1.1、2.1.1……）”，四级标题用“（1）、（2）……”。不再使用五级以下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）名词、名称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科学技术名词术语尽量采用全国自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然科学名词审定委员会公布的规范词，或国家标准、部标准中规定的名称，尚未统一规定或有争议的名词术语，采用惯用的名称。使用外文缩写代替某一名词术语，首次出现时应在括号内注明其含义。外国人名一般采用英文原名，按名前姓后的原则书写。很熟知的外国人名（如牛顿、马克思）可按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准译法书写译名。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）量和单位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量和单位应符合国家标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准GB3100～GB3102-93的规定，采用国际单位制。非物理量的单位，可采用汉字与符号构成组合形式，例如件/台、元/km。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）数字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测量统计数据一律用阿拉伯数字，但在叙述十以内的数目时，可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以不用阿拉伯数字。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）公式、算式或方程式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正文中的公式、算式或方程式应编排序号，序号用圆括号括起标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注于该式所在行(当有续行时，应标注于最后一行)的右边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行末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公式和编号之间不加虚线。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较长的式，必须转行时，只能在+，-，×，÷，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＜，＞处转行。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（十）表格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表格位于正文中引用该表格字段的后面。每个表格应有自己的表序和表题，表序和表题应写在表格上方正中，表序后空一格书写表题。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表格转页接写时，表头应重复写出，并写"续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表××"。表一律采用三线表。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插图必须精心制作，线条匀称，图面整洁。插图位于正文中引用该插图字段的后面。每幅插图应有图序和图题，图序和图题应放在图位下方居中处。一般用计算机绘图；墨绘图纸必须符合出版要求。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（十二）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注释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个别名词或情况需要解释时，采用脚注的方式说明。同一页中有两个以上的注时，按出现的顺序编列注号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以“①”式序号按顺序排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列。正文序号用“上标”形式表示。注释用正线与正文隔开，与被注的正文安排在同一页。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参考文献在正文中标注时，按文中出现的先后，统一用阿拉伯数字进行自然编号，序号用方括号括起来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，作为上角标或语句的组成部分。在正文后的“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参考文献”中列出时，按正文中标注的序号排序。参考文献按以下格式书写：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>专著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   [序号] 作者.书名[文献类型标识].版次（第一版不标注）.出版地:出版者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，出版年.起止页码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学术期刊 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  [序号] 作者.论文题目[文献类型标识].期刊名称，出版年，卷号（期号）:起止页码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析出文献   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[序号]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作者.题名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[文献类型标识]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．见（英文用In）：主编.所在文献名．出版地：出版者，出版年．起止页码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>专题科学报告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  [序号] 作者.专题科学报告题目[文献类型标识].出版地:出版者,出版年份.起止页码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 xml:space="preserve">学位论文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[序号]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作者.题名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[文献类型标识]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．保存地点：保存单位，年份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 xml:space="preserve">专利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 xml:space="preserve">[序号]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申请者.题名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[文献类型标识]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.国别，专利文献种类，专利号.出版日期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 xml:space="preserve">电子文献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[序号] 作者. 电子文献题名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[文献类型标识/载体类型标识]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 电子文献的出处或可获得地址，发表或更新日期/引用日期</w:t>
      </w:r>
      <w:r>
        <w:rPr>
          <w:rFonts w:hint="eastAsia" w:ascii="仿宋" w:hAnsi="仿宋" w:eastAsia="仿宋" w:cs="仿宋"/>
          <w:kern w:val="0"/>
          <w:sz w:val="30"/>
          <w:szCs w:val="3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 xml:space="preserve">附：参考文献类型及标识：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M—专著        C—论文集       N—报纸文章     J—期刊文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D—学位论文    R—研究报告     S—标准         P—专利；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对于专著、论文集中的析出文献采用单字母“A”标识，对于其他未说明的文献类型，采用单字母“Z’标识。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对于数据库、计算机程序及电子公告等电子文献类型，以双字母作为标识：DB—数据库，CP—计算机程序，EB—电子公告。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对于非纸张型载体电子文献，需在参考文献标识中同时标明其载体类型，采用双字母表示： MT—磁带，DK—磁盘，CD—光盘，OL—联机网络，并以下列格式表示包括了文献载体类型的参考文献类型标识： DB/OL—联机网上数据库，DB/MT—磁带数据库，M/CD—光盘图书，CP/DK—磁盘软件，J/0L—网上期刊，EB/OL—网上电子公告。以纸张为载体的传统文献在引作参考文献时不注其载体类型。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78" w:firstLineChars="225"/>
        <w:textAlignment w:val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）打印装订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毕业论文由学生本人编排并打印在标准A4纸上；论文封面（底）、学术诚信声明、目录和致谢实行单面打印；中英文摘要及关键词、正文、参考文献、附录实行双面打印。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毕业论文应按以下顺序装订：封面（教务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统一制作的封面）→学术诚信声明→中文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</w:rPr>
        <w:t>摘要与关键词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→英文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</w:rPr>
        <w:t>摘要与关键词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→目录→正文→参考文献→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致谢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→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附录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→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（含课题审批表、任务书、开题报告、中期检查表、指导记录、成绩评定表等）。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sz w:val="30"/>
          <w:szCs w:val="30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/>
          <w:sz w:val="30"/>
          <w:szCs w:val="30"/>
          <w:highlight w:val="none"/>
        </w:rPr>
        <w:t>、其他说明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毕业设计各学院可根据本规范参照执行，但学院内部必须保持格式统一，同时报教务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备案。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个别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有特殊要求的专业由学院根据学科特点和人才培养要求制定标准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同时报教务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备案。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附件：惠州学院本科生毕业论文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设计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格式模板</w:t>
      </w:r>
      <w:bookmarkStart w:id="0" w:name="_GoBack"/>
      <w:bookmarkEnd w:id="0"/>
    </w:p>
    <w:p>
      <w:pPr>
        <w:adjustRightInd w:val="0"/>
        <w:snapToGrid w:val="0"/>
        <w:spacing w:line="560" w:lineRule="atLeast"/>
        <w:rPr>
          <w:rFonts w:eastAsia="仿宋_GB2312"/>
          <w:sz w:val="18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18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18"/>
        </w:rPr>
      </w:pPr>
    </w:p>
    <w:p>
      <w:pPr>
        <w:tabs>
          <w:tab w:val="left" w:pos="7920"/>
        </w:tabs>
        <w:adjustRightInd w:val="0"/>
        <w:snapToGrid w:val="0"/>
        <w:spacing w:line="560" w:lineRule="atLeast"/>
        <w:ind w:right="1783" w:rightChars="849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教务部</w:t>
      </w:r>
    </w:p>
    <w:p>
      <w:pPr>
        <w:adjustRightInd w:val="0"/>
        <w:snapToGrid w:val="0"/>
        <w:spacing w:line="560" w:lineRule="atLeast"/>
        <w:ind w:right="1150" w:firstLine="720"/>
        <w:jc w:val="right"/>
        <w:rPr>
          <w:rFonts w:hint="default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   2024年12月19日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460" w:lineRule="exact"/>
        <w:rPr>
          <w:rFonts w:hint="eastAsia"/>
          <w:highlight w:val="none"/>
        </w:rPr>
      </w:pPr>
    </w:p>
    <w:p>
      <w:pPr>
        <w:snapToGrid w:val="0"/>
        <w:spacing w:line="440" w:lineRule="exact"/>
        <w:ind w:firstLine="540" w:firstLineChars="225"/>
        <w:rPr>
          <w:rFonts w:ascii="仿宋_GB2312" w:eastAsia="仿宋_GB2312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5727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FkODgyMGI2YTg3ZmU0ZDI5NmRkMjdmN2MyZTMifQ=="/>
    <w:docVar w:name="KSO_WPS_MARK_KEY" w:val="eb4eb20e-75d7-41c5-ac1f-0dab9814f9f6"/>
  </w:docVars>
  <w:rsids>
    <w:rsidRoot w:val="00DD2636"/>
    <w:rsid w:val="00031E59"/>
    <w:rsid w:val="00037B23"/>
    <w:rsid w:val="00054E8F"/>
    <w:rsid w:val="00062305"/>
    <w:rsid w:val="000718DC"/>
    <w:rsid w:val="000A35B5"/>
    <w:rsid w:val="000E0A2F"/>
    <w:rsid w:val="00146548"/>
    <w:rsid w:val="001C38BA"/>
    <w:rsid w:val="00204849"/>
    <w:rsid w:val="00244FD8"/>
    <w:rsid w:val="002672A4"/>
    <w:rsid w:val="002E7BCC"/>
    <w:rsid w:val="003577A2"/>
    <w:rsid w:val="00394A0D"/>
    <w:rsid w:val="003C74A3"/>
    <w:rsid w:val="00435D35"/>
    <w:rsid w:val="004522CF"/>
    <w:rsid w:val="00490FB9"/>
    <w:rsid w:val="004D7012"/>
    <w:rsid w:val="004E2EC6"/>
    <w:rsid w:val="004E4ABF"/>
    <w:rsid w:val="005A59CE"/>
    <w:rsid w:val="005B11EA"/>
    <w:rsid w:val="005B6855"/>
    <w:rsid w:val="005D0225"/>
    <w:rsid w:val="00634E0F"/>
    <w:rsid w:val="00641EC4"/>
    <w:rsid w:val="006427BB"/>
    <w:rsid w:val="00655919"/>
    <w:rsid w:val="006822EE"/>
    <w:rsid w:val="006B0D39"/>
    <w:rsid w:val="006E6743"/>
    <w:rsid w:val="006F01D8"/>
    <w:rsid w:val="007B5197"/>
    <w:rsid w:val="007D6852"/>
    <w:rsid w:val="007E74BC"/>
    <w:rsid w:val="008331DF"/>
    <w:rsid w:val="008620E5"/>
    <w:rsid w:val="008677E4"/>
    <w:rsid w:val="008A5CDA"/>
    <w:rsid w:val="009408EF"/>
    <w:rsid w:val="00984332"/>
    <w:rsid w:val="009C0EA8"/>
    <w:rsid w:val="00A81D25"/>
    <w:rsid w:val="00B56B7C"/>
    <w:rsid w:val="00B65AF9"/>
    <w:rsid w:val="00B7370A"/>
    <w:rsid w:val="00BD496C"/>
    <w:rsid w:val="00BD64B0"/>
    <w:rsid w:val="00BF3D46"/>
    <w:rsid w:val="00C2407F"/>
    <w:rsid w:val="00C51318"/>
    <w:rsid w:val="00CE3486"/>
    <w:rsid w:val="00CF4C45"/>
    <w:rsid w:val="00CF648F"/>
    <w:rsid w:val="00D46071"/>
    <w:rsid w:val="00D949C9"/>
    <w:rsid w:val="00DD1EDC"/>
    <w:rsid w:val="00DD2636"/>
    <w:rsid w:val="00E37485"/>
    <w:rsid w:val="00E449EC"/>
    <w:rsid w:val="00E80E0D"/>
    <w:rsid w:val="00E81092"/>
    <w:rsid w:val="00E9639B"/>
    <w:rsid w:val="00EB66E7"/>
    <w:rsid w:val="00EC7B8B"/>
    <w:rsid w:val="00F13075"/>
    <w:rsid w:val="00F33B1F"/>
    <w:rsid w:val="01804A4C"/>
    <w:rsid w:val="03920A67"/>
    <w:rsid w:val="03943074"/>
    <w:rsid w:val="03E72B61"/>
    <w:rsid w:val="044C50BA"/>
    <w:rsid w:val="07D60375"/>
    <w:rsid w:val="07DB29DD"/>
    <w:rsid w:val="082C148A"/>
    <w:rsid w:val="09B90AFC"/>
    <w:rsid w:val="0C2D3A23"/>
    <w:rsid w:val="0CED3E7F"/>
    <w:rsid w:val="0D8A2E0C"/>
    <w:rsid w:val="0DB17AE6"/>
    <w:rsid w:val="100F5919"/>
    <w:rsid w:val="10297943"/>
    <w:rsid w:val="106063C4"/>
    <w:rsid w:val="11C01481"/>
    <w:rsid w:val="120C7C36"/>
    <w:rsid w:val="131A0864"/>
    <w:rsid w:val="146B50E8"/>
    <w:rsid w:val="150B2427"/>
    <w:rsid w:val="150C54D6"/>
    <w:rsid w:val="15FA06A9"/>
    <w:rsid w:val="16664874"/>
    <w:rsid w:val="17207D63"/>
    <w:rsid w:val="18DA39F8"/>
    <w:rsid w:val="192F2B88"/>
    <w:rsid w:val="193463F1"/>
    <w:rsid w:val="197E141A"/>
    <w:rsid w:val="19810F0A"/>
    <w:rsid w:val="19F94F44"/>
    <w:rsid w:val="1A6D3EA1"/>
    <w:rsid w:val="1A781759"/>
    <w:rsid w:val="1AA454B9"/>
    <w:rsid w:val="1ABA46D4"/>
    <w:rsid w:val="1AD03EF7"/>
    <w:rsid w:val="1C561436"/>
    <w:rsid w:val="1CED6FE2"/>
    <w:rsid w:val="1DD957B9"/>
    <w:rsid w:val="1DF47EFC"/>
    <w:rsid w:val="1E0D5462"/>
    <w:rsid w:val="1E190BEF"/>
    <w:rsid w:val="20C6324C"/>
    <w:rsid w:val="21A25EC1"/>
    <w:rsid w:val="21C36564"/>
    <w:rsid w:val="21E25D47"/>
    <w:rsid w:val="22FD39C3"/>
    <w:rsid w:val="2432352D"/>
    <w:rsid w:val="248219CA"/>
    <w:rsid w:val="24A36AD0"/>
    <w:rsid w:val="24B14D99"/>
    <w:rsid w:val="25D1132C"/>
    <w:rsid w:val="267E6EFD"/>
    <w:rsid w:val="28687E65"/>
    <w:rsid w:val="290A3773"/>
    <w:rsid w:val="290D6316"/>
    <w:rsid w:val="2CC15D95"/>
    <w:rsid w:val="2D850B71"/>
    <w:rsid w:val="2E8B0409"/>
    <w:rsid w:val="2EC35DF5"/>
    <w:rsid w:val="2F972DDE"/>
    <w:rsid w:val="3002294D"/>
    <w:rsid w:val="3251196A"/>
    <w:rsid w:val="32F6606D"/>
    <w:rsid w:val="32FD564D"/>
    <w:rsid w:val="336B568A"/>
    <w:rsid w:val="34337579"/>
    <w:rsid w:val="375C6DE7"/>
    <w:rsid w:val="37C36E66"/>
    <w:rsid w:val="38FF2243"/>
    <w:rsid w:val="394E09B1"/>
    <w:rsid w:val="39590A23"/>
    <w:rsid w:val="395A1104"/>
    <w:rsid w:val="39A446DE"/>
    <w:rsid w:val="3A7601BF"/>
    <w:rsid w:val="3BD14AA0"/>
    <w:rsid w:val="3D1E6C3B"/>
    <w:rsid w:val="3DEA67CE"/>
    <w:rsid w:val="3DEC228B"/>
    <w:rsid w:val="3E622809"/>
    <w:rsid w:val="3F1E4982"/>
    <w:rsid w:val="3FB35A12"/>
    <w:rsid w:val="40C559FD"/>
    <w:rsid w:val="41AA41C0"/>
    <w:rsid w:val="42B210CE"/>
    <w:rsid w:val="432F3601"/>
    <w:rsid w:val="44550E45"/>
    <w:rsid w:val="44C23787"/>
    <w:rsid w:val="44FF6DBE"/>
    <w:rsid w:val="45B5664B"/>
    <w:rsid w:val="45FC3543"/>
    <w:rsid w:val="46C6602A"/>
    <w:rsid w:val="480C5CBF"/>
    <w:rsid w:val="484216E1"/>
    <w:rsid w:val="48621D83"/>
    <w:rsid w:val="48DA4B90"/>
    <w:rsid w:val="49C00547"/>
    <w:rsid w:val="49E862B8"/>
    <w:rsid w:val="49FB248F"/>
    <w:rsid w:val="4A056E6A"/>
    <w:rsid w:val="4A606796"/>
    <w:rsid w:val="4B1F5D09"/>
    <w:rsid w:val="4BC92119"/>
    <w:rsid w:val="4BEE392E"/>
    <w:rsid w:val="4C3E6663"/>
    <w:rsid w:val="4CA010CC"/>
    <w:rsid w:val="4D244C71"/>
    <w:rsid w:val="4D7B4640"/>
    <w:rsid w:val="4D9E6F42"/>
    <w:rsid w:val="4E015A17"/>
    <w:rsid w:val="506F3176"/>
    <w:rsid w:val="51840FE6"/>
    <w:rsid w:val="51D04201"/>
    <w:rsid w:val="52A907F9"/>
    <w:rsid w:val="53963229"/>
    <w:rsid w:val="53E75832"/>
    <w:rsid w:val="56C85EF8"/>
    <w:rsid w:val="57931F59"/>
    <w:rsid w:val="5A0733B5"/>
    <w:rsid w:val="5BE769E0"/>
    <w:rsid w:val="5C5A1297"/>
    <w:rsid w:val="5CC606DB"/>
    <w:rsid w:val="5DCD5A99"/>
    <w:rsid w:val="5DE92C19"/>
    <w:rsid w:val="5E4044BD"/>
    <w:rsid w:val="5F4D50E3"/>
    <w:rsid w:val="608809DE"/>
    <w:rsid w:val="61633902"/>
    <w:rsid w:val="64241E12"/>
    <w:rsid w:val="642F4DB7"/>
    <w:rsid w:val="64801AB7"/>
    <w:rsid w:val="64B81251"/>
    <w:rsid w:val="66664CDC"/>
    <w:rsid w:val="66B15B81"/>
    <w:rsid w:val="696F3EA8"/>
    <w:rsid w:val="698A0CE2"/>
    <w:rsid w:val="6A9C6F1F"/>
    <w:rsid w:val="6BE50451"/>
    <w:rsid w:val="6C3B104D"/>
    <w:rsid w:val="6D4F0278"/>
    <w:rsid w:val="6DD55987"/>
    <w:rsid w:val="6E3B25AB"/>
    <w:rsid w:val="6EF5297E"/>
    <w:rsid w:val="6F6E590C"/>
    <w:rsid w:val="6FB10D76"/>
    <w:rsid w:val="704716DB"/>
    <w:rsid w:val="712D37CE"/>
    <w:rsid w:val="71BF0BD2"/>
    <w:rsid w:val="72477770"/>
    <w:rsid w:val="72CC4119"/>
    <w:rsid w:val="732D2E0A"/>
    <w:rsid w:val="73BD48E8"/>
    <w:rsid w:val="74DF0134"/>
    <w:rsid w:val="75385D85"/>
    <w:rsid w:val="757335E6"/>
    <w:rsid w:val="75B47EB1"/>
    <w:rsid w:val="76674FD4"/>
    <w:rsid w:val="769136B0"/>
    <w:rsid w:val="76D65566"/>
    <w:rsid w:val="7722255A"/>
    <w:rsid w:val="77550B81"/>
    <w:rsid w:val="7A254D63"/>
    <w:rsid w:val="7AA045F7"/>
    <w:rsid w:val="7AC2685E"/>
    <w:rsid w:val="7B292109"/>
    <w:rsid w:val="7C600F51"/>
    <w:rsid w:val="7C701FB9"/>
    <w:rsid w:val="7CA73C2D"/>
    <w:rsid w:val="7D0050EB"/>
    <w:rsid w:val="7D4321E1"/>
    <w:rsid w:val="7E325778"/>
    <w:rsid w:val="7F4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脚注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17DD-AA77-4D89-A7A6-4A6058631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4244</Words>
  <Characters>4452</Characters>
  <Lines>51</Lines>
  <Paragraphs>14</Paragraphs>
  <TotalTime>4</TotalTime>
  <ScaleCrop>false</ScaleCrop>
  <LinksUpToDate>false</LinksUpToDate>
  <CharactersWithSpaces>4555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2016-03-18T03:25:00Z</dcterms:created>
  <dc:creator>Administrator</dc:creator>
  <cp:lastModifiedBy>启</cp:lastModifiedBy>
  <cp:lastPrinted>2024-11-27T07:15:00Z</cp:lastPrinted>
  <dcterms:modified xsi:type="dcterms:W3CDTF">2024-12-19T03:33:40Z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3DED8D5D2AEA4374B446605EE8F7CCC2_13</vt:lpwstr>
  </property>
</Properties>
</file>