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CD1F2A">
      <w:pPr>
        <w:keepNext w:val="0"/>
        <w:keepLines w:val="0"/>
        <w:widowControl w:val="0"/>
        <w:suppressLineNumbers w:val="0"/>
        <w:spacing w:before="0" w:beforeAutospacing="0" w:after="0" w:afterAutospacing="0"/>
        <w:ind w:left="0" w:right="0"/>
        <w:jc w:val="both"/>
        <w:rPr>
          <w:rFonts w:hint="eastAsia" w:asciiTheme="minorHAnsi" w:hAnsiTheme="minorHAnsi"/>
          <w:b w:val="0"/>
          <w:bCs/>
          <w:sz w:val="24"/>
        </w:rPr>
      </w:pPr>
      <w:r>
        <w:rPr>
          <w:rFonts w:hint="eastAsia" w:asciiTheme="minorEastAsia" w:hAnsiTheme="minorEastAsia" w:eastAsiaTheme="minorEastAsia" w:cstheme="minorEastAsia"/>
          <w:b w:val="0"/>
          <w:bCs/>
          <w:kern w:val="2"/>
          <w:sz w:val="24"/>
          <w:szCs w:val="24"/>
          <w:lang w:val="en-US" w:eastAsia="zh-CN" w:bidi="ar"/>
        </w:rPr>
        <w:t xml:space="preserve">附件2     </w:t>
      </w:r>
      <w:r>
        <w:rPr>
          <w:rFonts w:hint="eastAsia" w:asciiTheme="minorHAnsi" w:hAnsiTheme="minorHAnsi"/>
          <w:b w:val="0"/>
          <w:bCs/>
          <w:sz w:val="24"/>
          <w:lang w:val="en-US" w:eastAsia="zh-CN"/>
        </w:rPr>
        <w:t>25</w:t>
      </w:r>
      <w:bookmarkStart w:id="0" w:name="_GoBack"/>
      <w:bookmarkEnd w:id="0"/>
      <w:r>
        <w:rPr>
          <w:rFonts w:hint="eastAsia" w:asciiTheme="minorHAnsi" w:hAnsiTheme="minorHAnsi"/>
          <w:b w:val="0"/>
          <w:bCs/>
          <w:sz w:val="24"/>
        </w:rPr>
        <w:t>版</w:t>
      </w:r>
      <w:r>
        <w:rPr>
          <w:rFonts w:hint="eastAsia"/>
          <w:b w:val="0"/>
          <w:bCs/>
          <w:sz w:val="24"/>
        </w:rPr>
        <w:t>本科人才</w:t>
      </w:r>
      <w:r>
        <w:rPr>
          <w:rFonts w:hint="eastAsia" w:asciiTheme="minorHAnsi" w:hAnsiTheme="minorHAnsi"/>
          <w:b w:val="0"/>
          <w:bCs/>
          <w:sz w:val="24"/>
        </w:rPr>
        <w:t>培养方案</w:t>
      </w:r>
    </w:p>
    <w:p w14:paraId="232104B9">
      <w:pPr>
        <w:keepNext w:val="0"/>
        <w:keepLines w:val="0"/>
        <w:widowControl w:val="0"/>
        <w:suppressLineNumbers w:val="0"/>
        <w:spacing w:before="0" w:beforeAutospacing="0" w:after="0" w:afterAutospacing="0"/>
        <w:ind w:left="0" w:right="0"/>
        <w:jc w:val="both"/>
        <w:rPr>
          <w:rFonts w:hint="default" w:asciiTheme="minorHAnsi" w:hAnsiTheme="minorHAnsi"/>
          <w:sz w:val="24"/>
          <w:lang w:val="en-US" w:eastAsia="zh-CN"/>
        </w:rPr>
      </w:pPr>
    </w:p>
    <w:p w14:paraId="62BB3DF4">
      <w:pPr>
        <w:keepNext w:val="0"/>
        <w:keepLines w:val="0"/>
        <w:widowControl w:val="0"/>
        <w:suppressLineNumbers w:val="0"/>
        <w:spacing w:before="0" w:beforeAutospacing="0" w:after="0" w:afterAutospacing="0"/>
        <w:ind w:left="0" w:right="0"/>
        <w:jc w:val="center"/>
        <w:rPr>
          <w:rFonts w:hint="eastAsia" w:ascii="方正小标宋简体" w:hAnsi="方正小标宋简体" w:eastAsia="方正小标宋简体" w:cs="方正小标宋简体"/>
          <w:kern w:val="2"/>
          <w:sz w:val="36"/>
          <w:szCs w:val="36"/>
        </w:rPr>
      </w:pPr>
      <w:r>
        <w:rPr>
          <w:rFonts w:hint="eastAsia" w:ascii="方正小标宋简体" w:hAnsi="方正小标宋简体" w:eastAsia="方正小标宋简体" w:cs="方正小标宋简体"/>
          <w:kern w:val="2"/>
          <w:sz w:val="36"/>
          <w:szCs w:val="36"/>
          <w:lang w:val="en-US" w:eastAsia="zh-CN" w:bidi="ar"/>
        </w:rPr>
        <w:t>通识教育课程平台</w:t>
      </w:r>
    </w:p>
    <w:tbl>
      <w:tblPr>
        <w:tblStyle w:val="2"/>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716"/>
        <w:gridCol w:w="1188"/>
        <w:gridCol w:w="6615"/>
      </w:tblGrid>
      <w:tr w14:paraId="2444B4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21" w:hRule="atLeast"/>
          <w:jc w:val="center"/>
        </w:trPr>
        <w:tc>
          <w:tcPr>
            <w:tcW w:w="420" w:type="pct"/>
            <w:tcBorders>
              <w:top w:val="single" w:color="auto" w:sz="6" w:space="0"/>
              <w:left w:val="single" w:color="auto" w:sz="6" w:space="0"/>
              <w:bottom w:val="single" w:color="auto" w:sz="6" w:space="0"/>
              <w:right w:val="single" w:color="auto" w:sz="6" w:space="0"/>
            </w:tcBorders>
            <w:noWrap w:val="0"/>
            <w:vAlign w:val="center"/>
          </w:tcPr>
          <w:p w14:paraId="38334D5B">
            <w:pPr>
              <w:keepNext w:val="0"/>
              <w:keepLines w:val="0"/>
              <w:widowControl w:val="0"/>
              <w:suppressLineNumbers w:val="0"/>
              <w:spacing w:before="0" w:beforeAutospacing="0" w:after="0" w:afterAutospacing="0"/>
              <w:ind w:left="0" w:right="0"/>
              <w:jc w:val="center"/>
              <w:rPr>
                <w:rFonts w:hint="eastAsia" w:ascii="黑体" w:hAnsi="黑体" w:eastAsia="黑体" w:cs="黑体"/>
                <w:bCs/>
                <w:kern w:val="2"/>
                <w:sz w:val="18"/>
                <w:szCs w:val="18"/>
              </w:rPr>
            </w:pPr>
            <w:r>
              <w:rPr>
                <w:rFonts w:hint="eastAsia" w:ascii="黑体" w:hAnsi="黑体" w:eastAsia="黑体" w:cs="黑体"/>
                <w:bCs/>
                <w:kern w:val="2"/>
                <w:sz w:val="18"/>
                <w:szCs w:val="18"/>
                <w:lang w:val="en-US" w:eastAsia="zh-CN" w:bidi="ar"/>
              </w:rPr>
              <w:t>类型</w:t>
            </w:r>
          </w:p>
        </w:tc>
        <w:tc>
          <w:tcPr>
            <w:tcW w:w="697" w:type="pct"/>
            <w:tcBorders>
              <w:top w:val="single" w:color="auto" w:sz="6" w:space="0"/>
              <w:left w:val="nil"/>
              <w:bottom w:val="single" w:color="auto" w:sz="6" w:space="0"/>
              <w:right w:val="single" w:color="auto" w:sz="6" w:space="0"/>
            </w:tcBorders>
            <w:noWrap w:val="0"/>
            <w:vAlign w:val="center"/>
          </w:tcPr>
          <w:p w14:paraId="39A3FA59">
            <w:pPr>
              <w:keepNext w:val="0"/>
              <w:keepLines w:val="0"/>
              <w:widowControl w:val="0"/>
              <w:suppressLineNumbers w:val="0"/>
              <w:spacing w:before="0" w:beforeAutospacing="0" w:after="0" w:afterAutospacing="0"/>
              <w:ind w:left="0" w:right="0"/>
              <w:jc w:val="center"/>
              <w:rPr>
                <w:rFonts w:hint="eastAsia" w:ascii="黑体" w:hAnsi="黑体" w:eastAsia="黑体" w:cs="黑体"/>
                <w:bCs/>
                <w:kern w:val="2"/>
                <w:sz w:val="18"/>
                <w:szCs w:val="18"/>
              </w:rPr>
            </w:pPr>
            <w:r>
              <w:rPr>
                <w:rFonts w:hint="eastAsia" w:ascii="黑体" w:hAnsi="黑体" w:eastAsia="黑体" w:cs="黑体"/>
                <w:bCs/>
                <w:kern w:val="2"/>
                <w:sz w:val="18"/>
                <w:szCs w:val="18"/>
                <w:lang w:val="en-US" w:eastAsia="zh-CN" w:bidi="ar"/>
              </w:rPr>
              <w:t>模块</w:t>
            </w:r>
          </w:p>
          <w:p w14:paraId="27CBFF1D">
            <w:pPr>
              <w:keepNext w:val="0"/>
              <w:keepLines w:val="0"/>
              <w:widowControl w:val="0"/>
              <w:suppressLineNumbers w:val="0"/>
              <w:spacing w:before="0" w:beforeAutospacing="0" w:after="0" w:afterAutospacing="0"/>
              <w:ind w:left="0" w:right="0"/>
              <w:jc w:val="center"/>
              <w:rPr>
                <w:rFonts w:hint="eastAsia" w:ascii="黑体" w:hAnsi="黑体" w:eastAsia="黑体" w:cs="黑体"/>
                <w:bCs/>
                <w:kern w:val="2"/>
                <w:sz w:val="18"/>
                <w:szCs w:val="18"/>
              </w:rPr>
            </w:pPr>
            <w:r>
              <w:rPr>
                <w:rFonts w:hint="eastAsia" w:ascii="黑体" w:hAnsi="黑体" w:eastAsia="黑体" w:cs="黑体"/>
                <w:bCs/>
                <w:kern w:val="2"/>
                <w:sz w:val="18"/>
                <w:szCs w:val="18"/>
                <w:lang w:val="en-US" w:eastAsia="zh-CN" w:bidi="ar"/>
              </w:rPr>
              <w:t>名称</w:t>
            </w:r>
          </w:p>
        </w:tc>
        <w:tc>
          <w:tcPr>
            <w:tcW w:w="3881" w:type="pct"/>
            <w:tcBorders>
              <w:top w:val="single" w:color="auto" w:sz="6" w:space="0"/>
              <w:left w:val="nil"/>
              <w:bottom w:val="single" w:color="auto" w:sz="6" w:space="0"/>
              <w:right w:val="single" w:color="auto" w:sz="6" w:space="0"/>
            </w:tcBorders>
            <w:noWrap w:val="0"/>
            <w:vAlign w:val="center"/>
          </w:tcPr>
          <w:p w14:paraId="572BA96C">
            <w:pPr>
              <w:keepNext w:val="0"/>
              <w:keepLines w:val="0"/>
              <w:widowControl w:val="0"/>
              <w:suppressLineNumbers w:val="0"/>
              <w:spacing w:before="0" w:beforeAutospacing="0" w:after="0" w:afterAutospacing="0"/>
              <w:ind w:left="0" w:right="0"/>
              <w:jc w:val="center"/>
              <w:rPr>
                <w:rFonts w:hint="eastAsia" w:ascii="黑体" w:hAnsi="黑体" w:eastAsia="黑体" w:cs="黑体"/>
                <w:bCs/>
                <w:kern w:val="2"/>
                <w:sz w:val="18"/>
                <w:szCs w:val="18"/>
              </w:rPr>
            </w:pPr>
            <w:r>
              <w:rPr>
                <w:rFonts w:hint="eastAsia" w:ascii="黑体" w:hAnsi="黑体" w:eastAsia="黑体" w:cs="黑体"/>
                <w:bCs/>
                <w:kern w:val="2"/>
                <w:sz w:val="18"/>
                <w:szCs w:val="18"/>
                <w:lang w:val="en-US" w:eastAsia="zh-CN" w:bidi="ar"/>
              </w:rPr>
              <w:t>教学目标</w:t>
            </w:r>
          </w:p>
        </w:tc>
      </w:tr>
      <w:tr w14:paraId="7AB16D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96" w:hRule="atLeast"/>
          <w:jc w:val="center"/>
        </w:trPr>
        <w:tc>
          <w:tcPr>
            <w:tcW w:w="420" w:type="pct"/>
            <w:vMerge w:val="restart"/>
            <w:tcBorders>
              <w:top w:val="nil"/>
              <w:left w:val="single" w:color="auto" w:sz="6" w:space="0"/>
              <w:bottom w:val="single" w:color="auto" w:sz="6" w:space="0"/>
              <w:right w:val="single" w:color="auto" w:sz="6" w:space="0"/>
            </w:tcBorders>
            <w:noWrap w:val="0"/>
            <w:vAlign w:val="center"/>
          </w:tcPr>
          <w:p w14:paraId="6D2E0845">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kern w:val="2"/>
                <w:sz w:val="18"/>
                <w:szCs w:val="18"/>
              </w:rPr>
            </w:pPr>
            <w:r>
              <w:rPr>
                <w:rFonts w:hint="default" w:ascii="华文楷体" w:hAnsi="华文楷体" w:eastAsia="华文楷体" w:cs="华文楷体"/>
                <w:kern w:val="2"/>
                <w:sz w:val="18"/>
                <w:szCs w:val="18"/>
                <w:lang w:val="en-US" w:eastAsia="zh-CN" w:bidi="ar"/>
              </w:rPr>
              <w:t>人文艺术类</w:t>
            </w:r>
          </w:p>
        </w:tc>
        <w:tc>
          <w:tcPr>
            <w:tcW w:w="697" w:type="pct"/>
            <w:tcBorders>
              <w:top w:val="single" w:color="auto" w:sz="6" w:space="0"/>
              <w:left w:val="nil"/>
              <w:bottom w:val="single" w:color="auto" w:sz="6" w:space="0"/>
              <w:right w:val="single" w:color="auto" w:sz="6" w:space="0"/>
            </w:tcBorders>
            <w:noWrap w:val="0"/>
            <w:vAlign w:val="center"/>
          </w:tcPr>
          <w:p w14:paraId="26FE3FA1">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kern w:val="2"/>
                <w:sz w:val="18"/>
                <w:szCs w:val="18"/>
              </w:rPr>
            </w:pPr>
            <w:r>
              <w:rPr>
                <w:rFonts w:hint="default" w:ascii="华文楷体" w:hAnsi="华文楷体" w:eastAsia="华文楷体" w:cs="华文楷体"/>
                <w:kern w:val="2"/>
                <w:sz w:val="18"/>
                <w:szCs w:val="18"/>
                <w:lang w:val="en-US" w:eastAsia="zh-CN" w:bidi="ar"/>
              </w:rPr>
              <w:t>哲学与思维</w:t>
            </w:r>
          </w:p>
        </w:tc>
        <w:tc>
          <w:tcPr>
            <w:tcW w:w="3881" w:type="pct"/>
            <w:tcBorders>
              <w:top w:val="single" w:color="auto" w:sz="6" w:space="0"/>
              <w:left w:val="nil"/>
              <w:bottom w:val="single" w:color="auto" w:sz="6" w:space="0"/>
              <w:right w:val="single" w:color="auto" w:sz="6" w:space="0"/>
            </w:tcBorders>
            <w:noWrap w:val="0"/>
            <w:vAlign w:val="center"/>
          </w:tcPr>
          <w:p w14:paraId="2A8327F3">
            <w:pPr>
              <w:keepNext w:val="0"/>
              <w:keepLines w:val="0"/>
              <w:widowControl w:val="0"/>
              <w:suppressLineNumbers w:val="0"/>
              <w:spacing w:before="0" w:beforeAutospacing="0" w:after="0" w:afterAutospacing="0"/>
              <w:ind w:left="0" w:right="0"/>
              <w:jc w:val="both"/>
              <w:rPr>
                <w:rFonts w:hint="default" w:ascii="华文楷体" w:hAnsi="华文楷体" w:eastAsia="华文楷体" w:cs="华文楷体"/>
                <w:spacing w:val="-4"/>
                <w:kern w:val="2"/>
                <w:sz w:val="18"/>
                <w:szCs w:val="18"/>
              </w:rPr>
            </w:pPr>
            <w:r>
              <w:rPr>
                <w:rFonts w:hint="default" w:ascii="华文楷体" w:hAnsi="华文楷体" w:eastAsia="华文楷体" w:cs="华文楷体"/>
                <w:spacing w:val="-4"/>
                <w:kern w:val="2"/>
                <w:sz w:val="18"/>
                <w:szCs w:val="18"/>
                <w:lang w:val="en-US" w:eastAsia="zh-CN" w:bidi="ar"/>
              </w:rPr>
              <w:t>引导大学生了解不同哲学体系的精髓、拓展思维的广度与深度，掌握批判性思维方法，养成批判性思维习惯，培养大学生的哲学思辨能力、批判意识和创新精神。</w:t>
            </w:r>
          </w:p>
        </w:tc>
      </w:tr>
      <w:tr w14:paraId="382986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917" w:hRule="atLeast"/>
          <w:jc w:val="center"/>
        </w:trPr>
        <w:tc>
          <w:tcPr>
            <w:tcW w:w="420" w:type="pct"/>
            <w:vMerge w:val="continue"/>
            <w:tcBorders>
              <w:top w:val="nil"/>
              <w:left w:val="single" w:color="auto" w:sz="6" w:space="0"/>
              <w:bottom w:val="single" w:color="auto" w:sz="6" w:space="0"/>
              <w:right w:val="single" w:color="auto" w:sz="6" w:space="0"/>
            </w:tcBorders>
            <w:noWrap w:val="0"/>
            <w:vAlign w:val="center"/>
          </w:tcPr>
          <w:p w14:paraId="61C31D30">
            <w:pPr>
              <w:rPr>
                <w:rFonts w:hint="default" w:ascii="Times New Roman" w:hAnsi="Times New Roman" w:cs="Times New Roman"/>
                <w:sz w:val="20"/>
                <w:szCs w:val="20"/>
              </w:rPr>
            </w:pPr>
          </w:p>
        </w:tc>
        <w:tc>
          <w:tcPr>
            <w:tcW w:w="697" w:type="pct"/>
            <w:tcBorders>
              <w:top w:val="single" w:color="auto" w:sz="6" w:space="0"/>
              <w:left w:val="nil"/>
              <w:bottom w:val="single" w:color="auto" w:sz="6" w:space="0"/>
              <w:right w:val="single" w:color="auto" w:sz="6" w:space="0"/>
            </w:tcBorders>
            <w:noWrap w:val="0"/>
            <w:vAlign w:val="center"/>
          </w:tcPr>
          <w:p w14:paraId="7D1DEF11">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kern w:val="2"/>
                <w:sz w:val="18"/>
                <w:szCs w:val="18"/>
              </w:rPr>
            </w:pPr>
            <w:r>
              <w:rPr>
                <w:rFonts w:hint="default" w:ascii="华文楷体" w:hAnsi="华文楷体" w:eastAsia="华文楷体" w:cs="华文楷体"/>
                <w:kern w:val="2"/>
                <w:sz w:val="18"/>
                <w:szCs w:val="18"/>
                <w:lang w:val="en-US" w:eastAsia="zh-CN" w:bidi="ar"/>
              </w:rPr>
              <w:t>历史与文化</w:t>
            </w:r>
          </w:p>
        </w:tc>
        <w:tc>
          <w:tcPr>
            <w:tcW w:w="3881" w:type="pct"/>
            <w:tcBorders>
              <w:top w:val="single" w:color="auto" w:sz="6" w:space="0"/>
              <w:left w:val="nil"/>
              <w:bottom w:val="single" w:color="auto" w:sz="6" w:space="0"/>
              <w:right w:val="single" w:color="auto" w:sz="6" w:space="0"/>
            </w:tcBorders>
            <w:noWrap w:val="0"/>
            <w:vAlign w:val="center"/>
          </w:tcPr>
          <w:p w14:paraId="27180641">
            <w:pPr>
              <w:keepNext w:val="0"/>
              <w:keepLines w:val="0"/>
              <w:widowControl w:val="0"/>
              <w:suppressLineNumbers w:val="0"/>
              <w:spacing w:before="0" w:beforeAutospacing="0" w:after="0" w:afterAutospacing="0"/>
              <w:ind w:left="0" w:right="0"/>
              <w:jc w:val="both"/>
              <w:rPr>
                <w:rFonts w:hint="default" w:ascii="华文楷体" w:hAnsi="华文楷体" w:eastAsia="华文楷体" w:cs="华文楷体"/>
                <w:spacing w:val="-4"/>
                <w:kern w:val="2"/>
                <w:sz w:val="18"/>
                <w:szCs w:val="18"/>
              </w:rPr>
            </w:pPr>
            <w:r>
              <w:rPr>
                <w:rFonts w:hint="default" w:ascii="华文楷体" w:hAnsi="华文楷体" w:eastAsia="华文楷体" w:cs="华文楷体"/>
                <w:spacing w:val="-4"/>
                <w:kern w:val="2"/>
                <w:sz w:val="18"/>
                <w:szCs w:val="18"/>
                <w:lang w:val="en-US" w:eastAsia="zh-CN" w:bidi="ar"/>
              </w:rPr>
              <w:t>以中外经典史学、文学经典为核心，帮助大学生对中国传统历史文化与世界诸文明类型形成框架性理解，引导大学生尊重和包容文化的多样性，培养大学生正确的历史观、文化观，促进大学生拓宽国际视野，更好地认识中国、认识世界，树立自觉传承中华文明的使命感。</w:t>
            </w:r>
          </w:p>
        </w:tc>
      </w:tr>
      <w:tr w14:paraId="2B8753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227" w:hRule="atLeast"/>
          <w:jc w:val="center"/>
        </w:trPr>
        <w:tc>
          <w:tcPr>
            <w:tcW w:w="420" w:type="pct"/>
            <w:vMerge w:val="continue"/>
            <w:tcBorders>
              <w:top w:val="nil"/>
              <w:left w:val="single" w:color="auto" w:sz="6" w:space="0"/>
              <w:bottom w:val="single" w:color="auto" w:sz="6" w:space="0"/>
              <w:right w:val="single" w:color="auto" w:sz="6" w:space="0"/>
            </w:tcBorders>
            <w:noWrap w:val="0"/>
            <w:vAlign w:val="center"/>
          </w:tcPr>
          <w:p w14:paraId="3EF3904B">
            <w:pPr>
              <w:rPr>
                <w:rFonts w:hint="default" w:ascii="Times New Roman" w:hAnsi="Times New Roman" w:cs="Times New Roman"/>
                <w:sz w:val="20"/>
                <w:szCs w:val="20"/>
              </w:rPr>
            </w:pPr>
          </w:p>
        </w:tc>
        <w:tc>
          <w:tcPr>
            <w:tcW w:w="697" w:type="pct"/>
            <w:tcBorders>
              <w:top w:val="single" w:color="auto" w:sz="6" w:space="0"/>
              <w:left w:val="nil"/>
              <w:bottom w:val="single" w:color="auto" w:sz="6" w:space="0"/>
              <w:right w:val="single" w:color="auto" w:sz="6" w:space="0"/>
            </w:tcBorders>
            <w:noWrap w:val="0"/>
            <w:vAlign w:val="center"/>
          </w:tcPr>
          <w:p w14:paraId="42F5AF9D">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kern w:val="2"/>
                <w:sz w:val="18"/>
                <w:szCs w:val="18"/>
              </w:rPr>
            </w:pPr>
            <w:r>
              <w:rPr>
                <w:rFonts w:hint="default" w:ascii="华文楷体" w:hAnsi="华文楷体" w:eastAsia="华文楷体" w:cs="华文楷体"/>
                <w:kern w:val="2"/>
                <w:sz w:val="18"/>
                <w:szCs w:val="18"/>
                <w:lang w:val="en-US" w:eastAsia="zh-CN" w:bidi="ar"/>
              </w:rPr>
              <w:t>艺术素养</w:t>
            </w:r>
          </w:p>
        </w:tc>
        <w:tc>
          <w:tcPr>
            <w:tcW w:w="3881" w:type="pct"/>
            <w:tcBorders>
              <w:top w:val="single" w:color="auto" w:sz="6" w:space="0"/>
              <w:left w:val="nil"/>
              <w:bottom w:val="single" w:color="auto" w:sz="6" w:space="0"/>
              <w:right w:val="single" w:color="auto" w:sz="6" w:space="0"/>
            </w:tcBorders>
            <w:noWrap w:val="0"/>
            <w:vAlign w:val="center"/>
          </w:tcPr>
          <w:p w14:paraId="1CAAAAE1">
            <w:pPr>
              <w:keepNext w:val="0"/>
              <w:keepLines w:val="0"/>
              <w:widowControl w:val="0"/>
              <w:suppressLineNumbers w:val="0"/>
              <w:spacing w:before="0" w:beforeAutospacing="0" w:after="0" w:afterAutospacing="0"/>
              <w:ind w:left="0" w:right="0"/>
              <w:jc w:val="both"/>
              <w:rPr>
                <w:rFonts w:hint="default" w:ascii="华文楷体" w:hAnsi="华文楷体" w:eastAsia="华文楷体" w:cs="华文楷体"/>
                <w:spacing w:val="-4"/>
                <w:kern w:val="2"/>
                <w:sz w:val="18"/>
                <w:szCs w:val="18"/>
              </w:rPr>
            </w:pPr>
            <w:r>
              <w:rPr>
                <w:rFonts w:hint="default" w:ascii="华文楷体" w:hAnsi="华文楷体" w:eastAsia="华文楷体" w:cs="华文楷体"/>
                <w:spacing w:val="-4"/>
                <w:kern w:val="2"/>
                <w:sz w:val="18"/>
                <w:szCs w:val="18"/>
                <w:lang w:val="en-US" w:eastAsia="zh-CN" w:bidi="ar"/>
              </w:rPr>
              <w:t>通过艺术教学、美育与审美体验，引导大学生鉴赏古今中外优秀文艺作品，帮助大学生提高审美能力，提升人生境界。让大学生在真善美的浸润和感染下，逐渐形成积极、正面的思想情感、人生态度和价值观念，同时增强其艺术创造与表达能力。教学中注重欣赏与艺术体验相结合的过程性学习。</w:t>
            </w:r>
          </w:p>
        </w:tc>
      </w:tr>
      <w:tr w14:paraId="56E6A4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06" w:hRule="atLeast"/>
          <w:jc w:val="center"/>
        </w:trPr>
        <w:tc>
          <w:tcPr>
            <w:tcW w:w="420" w:type="pct"/>
            <w:vMerge w:val="continue"/>
            <w:tcBorders>
              <w:top w:val="nil"/>
              <w:left w:val="single" w:color="auto" w:sz="6" w:space="0"/>
              <w:bottom w:val="single" w:color="auto" w:sz="6" w:space="0"/>
              <w:right w:val="single" w:color="auto" w:sz="6" w:space="0"/>
            </w:tcBorders>
            <w:noWrap w:val="0"/>
            <w:vAlign w:val="center"/>
          </w:tcPr>
          <w:p w14:paraId="0128FB2A">
            <w:pPr>
              <w:rPr>
                <w:rFonts w:hint="default" w:ascii="Times New Roman" w:hAnsi="Times New Roman" w:cs="Times New Roman"/>
                <w:sz w:val="20"/>
                <w:szCs w:val="20"/>
              </w:rPr>
            </w:pPr>
          </w:p>
        </w:tc>
        <w:tc>
          <w:tcPr>
            <w:tcW w:w="697" w:type="pct"/>
            <w:tcBorders>
              <w:top w:val="single" w:color="auto" w:sz="6" w:space="0"/>
              <w:left w:val="nil"/>
              <w:bottom w:val="single" w:color="auto" w:sz="6" w:space="0"/>
              <w:right w:val="single" w:color="auto" w:sz="6" w:space="0"/>
            </w:tcBorders>
            <w:noWrap w:val="0"/>
            <w:vAlign w:val="center"/>
          </w:tcPr>
          <w:p w14:paraId="26969978">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kern w:val="2"/>
                <w:sz w:val="18"/>
                <w:szCs w:val="18"/>
              </w:rPr>
            </w:pPr>
            <w:r>
              <w:rPr>
                <w:rFonts w:hint="default" w:ascii="华文楷体" w:hAnsi="华文楷体" w:eastAsia="华文楷体" w:cs="华文楷体"/>
                <w:kern w:val="2"/>
                <w:sz w:val="18"/>
                <w:szCs w:val="18"/>
                <w:lang w:val="en-US" w:eastAsia="zh-CN" w:bidi="ar"/>
              </w:rPr>
              <w:t>四史</w:t>
            </w:r>
          </w:p>
        </w:tc>
        <w:tc>
          <w:tcPr>
            <w:tcW w:w="3881" w:type="pct"/>
            <w:tcBorders>
              <w:top w:val="single" w:color="auto" w:sz="6" w:space="0"/>
              <w:left w:val="nil"/>
              <w:bottom w:val="single" w:color="auto" w:sz="6" w:space="0"/>
              <w:right w:val="single" w:color="auto" w:sz="6" w:space="0"/>
            </w:tcBorders>
            <w:noWrap w:val="0"/>
            <w:vAlign w:val="center"/>
          </w:tcPr>
          <w:p w14:paraId="0CEF44A2">
            <w:pPr>
              <w:keepNext w:val="0"/>
              <w:keepLines w:val="0"/>
              <w:widowControl w:val="0"/>
              <w:suppressLineNumbers w:val="0"/>
              <w:spacing w:before="0" w:beforeAutospacing="0" w:after="0" w:afterAutospacing="0"/>
              <w:ind w:left="0" w:right="0"/>
              <w:jc w:val="both"/>
              <w:rPr>
                <w:rFonts w:hint="default" w:ascii="华文楷体" w:hAnsi="华文楷体" w:eastAsia="华文楷体" w:cs="华文楷体"/>
                <w:spacing w:val="-4"/>
                <w:kern w:val="2"/>
                <w:sz w:val="18"/>
                <w:szCs w:val="18"/>
              </w:rPr>
            </w:pPr>
            <w:r>
              <w:rPr>
                <w:rFonts w:hint="default" w:ascii="华文楷体" w:hAnsi="华文楷体" w:eastAsia="华文楷体" w:cs="华文楷体"/>
                <w:spacing w:val="-4"/>
                <w:kern w:val="2"/>
                <w:sz w:val="18"/>
                <w:szCs w:val="18"/>
                <w:lang w:val="en-US" w:eastAsia="zh-CN" w:bidi="ar"/>
              </w:rPr>
              <w:t>通过学习党史、新中国史、改革开放史、社会主义发展史，帮助学生树立正确的历史观和崇高的理想信念，增强对中国特色社会主义道路、理论、制度、文化的自信。</w:t>
            </w:r>
          </w:p>
        </w:tc>
      </w:tr>
      <w:tr w14:paraId="305B39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087" w:hRule="atLeast"/>
          <w:jc w:val="center"/>
        </w:trPr>
        <w:tc>
          <w:tcPr>
            <w:tcW w:w="420" w:type="pct"/>
            <w:vMerge w:val="restart"/>
            <w:tcBorders>
              <w:top w:val="nil"/>
              <w:left w:val="single" w:color="auto" w:sz="6" w:space="0"/>
              <w:bottom w:val="single" w:color="auto" w:sz="6" w:space="0"/>
              <w:right w:val="single" w:color="auto" w:sz="6" w:space="0"/>
            </w:tcBorders>
            <w:noWrap w:val="0"/>
            <w:vAlign w:val="center"/>
          </w:tcPr>
          <w:p w14:paraId="4860B7F1">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kern w:val="2"/>
                <w:sz w:val="18"/>
                <w:szCs w:val="18"/>
              </w:rPr>
            </w:pPr>
            <w:r>
              <w:rPr>
                <w:rFonts w:hint="default" w:ascii="华文楷体" w:hAnsi="华文楷体" w:eastAsia="华文楷体" w:cs="华文楷体"/>
                <w:kern w:val="2"/>
                <w:sz w:val="18"/>
                <w:szCs w:val="18"/>
                <w:lang w:val="en-US" w:eastAsia="zh-CN" w:bidi="ar"/>
              </w:rPr>
              <w:t>社会科学类</w:t>
            </w:r>
          </w:p>
        </w:tc>
        <w:tc>
          <w:tcPr>
            <w:tcW w:w="697" w:type="pct"/>
            <w:tcBorders>
              <w:top w:val="single" w:color="auto" w:sz="6" w:space="0"/>
              <w:left w:val="nil"/>
              <w:bottom w:val="single" w:color="auto" w:sz="6" w:space="0"/>
              <w:right w:val="single" w:color="auto" w:sz="6" w:space="0"/>
            </w:tcBorders>
            <w:noWrap w:val="0"/>
            <w:vAlign w:val="center"/>
          </w:tcPr>
          <w:p w14:paraId="56E50186">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kern w:val="2"/>
                <w:sz w:val="18"/>
                <w:szCs w:val="18"/>
              </w:rPr>
            </w:pPr>
            <w:r>
              <w:rPr>
                <w:rFonts w:hint="default" w:ascii="华文楷体" w:hAnsi="华文楷体" w:eastAsia="华文楷体" w:cs="华文楷体"/>
                <w:kern w:val="2"/>
                <w:sz w:val="18"/>
                <w:szCs w:val="18"/>
                <w:lang w:val="en-US" w:eastAsia="zh-CN" w:bidi="ar"/>
              </w:rPr>
              <w:t>经济与社会</w:t>
            </w:r>
          </w:p>
        </w:tc>
        <w:tc>
          <w:tcPr>
            <w:tcW w:w="3881" w:type="pct"/>
            <w:tcBorders>
              <w:top w:val="single" w:color="auto" w:sz="6" w:space="0"/>
              <w:left w:val="nil"/>
              <w:bottom w:val="single" w:color="auto" w:sz="6" w:space="0"/>
              <w:right w:val="single" w:color="auto" w:sz="6" w:space="0"/>
            </w:tcBorders>
            <w:noWrap w:val="0"/>
            <w:vAlign w:val="center"/>
          </w:tcPr>
          <w:p w14:paraId="2FAF400B">
            <w:pPr>
              <w:keepNext w:val="0"/>
              <w:keepLines w:val="0"/>
              <w:widowControl w:val="0"/>
              <w:suppressLineNumbers w:val="0"/>
              <w:spacing w:before="0" w:beforeAutospacing="0" w:after="0" w:afterAutospacing="0"/>
              <w:ind w:left="0" w:right="0"/>
              <w:jc w:val="both"/>
              <w:rPr>
                <w:rFonts w:hint="default" w:ascii="华文楷体" w:hAnsi="华文楷体" w:eastAsia="华文楷体" w:cs="华文楷体"/>
                <w:spacing w:val="-4"/>
                <w:kern w:val="2"/>
                <w:sz w:val="18"/>
                <w:szCs w:val="18"/>
              </w:rPr>
            </w:pPr>
            <w:r>
              <w:rPr>
                <w:rFonts w:hint="default" w:ascii="华文楷体" w:hAnsi="华文楷体" w:eastAsia="华文楷体" w:cs="华文楷体"/>
                <w:spacing w:val="-4"/>
                <w:kern w:val="2"/>
                <w:sz w:val="18"/>
                <w:szCs w:val="18"/>
                <w:lang w:val="en-US" w:eastAsia="zh-CN" w:bidi="ar"/>
              </w:rPr>
              <w:t>通过对社会科学理论的介绍以及适当的社会科学方法的训练，引导大学生理解现代经济基本运行机制，了解社会组织与管理的基本原理，掌握社会科学的基本研究范式与重要理论模型，学会对复杂社会现象理性判断，以及使用社会科学的视角去审视中国和世界的能力，并拓宽大学生对中外经济与社会比较研究的全球化视野。</w:t>
            </w:r>
          </w:p>
        </w:tc>
      </w:tr>
      <w:tr w14:paraId="362567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917" w:hRule="atLeast"/>
          <w:jc w:val="center"/>
        </w:trPr>
        <w:tc>
          <w:tcPr>
            <w:tcW w:w="420" w:type="pct"/>
            <w:vMerge w:val="continue"/>
            <w:tcBorders>
              <w:top w:val="nil"/>
              <w:left w:val="single" w:color="auto" w:sz="6" w:space="0"/>
              <w:bottom w:val="single" w:color="auto" w:sz="6" w:space="0"/>
              <w:right w:val="single" w:color="auto" w:sz="6" w:space="0"/>
            </w:tcBorders>
            <w:noWrap w:val="0"/>
            <w:vAlign w:val="center"/>
          </w:tcPr>
          <w:p w14:paraId="6E12E5FB">
            <w:pPr>
              <w:rPr>
                <w:rFonts w:hint="default" w:ascii="Times New Roman" w:hAnsi="Times New Roman" w:cs="Times New Roman"/>
                <w:sz w:val="20"/>
                <w:szCs w:val="20"/>
              </w:rPr>
            </w:pPr>
          </w:p>
        </w:tc>
        <w:tc>
          <w:tcPr>
            <w:tcW w:w="697" w:type="pct"/>
            <w:tcBorders>
              <w:top w:val="single" w:color="auto" w:sz="6" w:space="0"/>
              <w:left w:val="nil"/>
              <w:bottom w:val="single" w:color="auto" w:sz="6" w:space="0"/>
              <w:right w:val="single" w:color="auto" w:sz="6" w:space="0"/>
            </w:tcBorders>
            <w:noWrap w:val="0"/>
            <w:vAlign w:val="center"/>
          </w:tcPr>
          <w:p w14:paraId="17507E81">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kern w:val="2"/>
                <w:sz w:val="18"/>
                <w:szCs w:val="18"/>
              </w:rPr>
            </w:pPr>
            <w:r>
              <w:rPr>
                <w:rFonts w:hint="default" w:ascii="华文楷体" w:hAnsi="华文楷体" w:eastAsia="华文楷体" w:cs="华文楷体"/>
                <w:kern w:val="2"/>
                <w:sz w:val="18"/>
                <w:szCs w:val="18"/>
                <w:lang w:val="en-US" w:eastAsia="zh-CN" w:bidi="ar"/>
              </w:rPr>
              <w:t>沟通与领导</w:t>
            </w:r>
          </w:p>
        </w:tc>
        <w:tc>
          <w:tcPr>
            <w:tcW w:w="3881" w:type="pct"/>
            <w:tcBorders>
              <w:top w:val="single" w:color="auto" w:sz="6" w:space="0"/>
              <w:left w:val="nil"/>
              <w:bottom w:val="single" w:color="auto" w:sz="6" w:space="0"/>
              <w:right w:val="single" w:color="auto" w:sz="6" w:space="0"/>
            </w:tcBorders>
            <w:noWrap w:val="0"/>
            <w:vAlign w:val="center"/>
          </w:tcPr>
          <w:p w14:paraId="7F1DD822">
            <w:pPr>
              <w:keepNext w:val="0"/>
              <w:keepLines w:val="0"/>
              <w:widowControl w:val="0"/>
              <w:suppressLineNumbers w:val="0"/>
              <w:spacing w:before="0" w:beforeAutospacing="0" w:after="0" w:afterAutospacing="0"/>
              <w:ind w:left="0" w:right="0"/>
              <w:jc w:val="both"/>
              <w:rPr>
                <w:rFonts w:hint="default" w:ascii="华文楷体" w:hAnsi="华文楷体" w:eastAsia="华文楷体" w:cs="华文楷体"/>
                <w:spacing w:val="-4"/>
                <w:kern w:val="2"/>
                <w:sz w:val="18"/>
                <w:szCs w:val="18"/>
              </w:rPr>
            </w:pPr>
            <w:r>
              <w:rPr>
                <w:rFonts w:hint="default" w:ascii="华文楷体" w:hAnsi="华文楷体" w:eastAsia="华文楷体" w:cs="华文楷体"/>
                <w:spacing w:val="-4"/>
                <w:kern w:val="2"/>
                <w:sz w:val="18"/>
                <w:szCs w:val="18"/>
                <w:lang w:val="en-US" w:eastAsia="zh-CN" w:bidi="ar"/>
              </w:rPr>
              <w:t>通过多领域的课程设置，着力强化大学生的沟通与领导能力，提升大学生的跨界整合能力，培育具有国际视野、家国情怀，以及广博知识、跨文化沟通能力，能够担当引领未来和造福社会的卓越领军人才。</w:t>
            </w:r>
          </w:p>
        </w:tc>
      </w:tr>
      <w:tr w14:paraId="522023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420" w:type="pct"/>
            <w:vMerge w:val="continue"/>
            <w:tcBorders>
              <w:top w:val="nil"/>
              <w:left w:val="single" w:color="auto" w:sz="6" w:space="0"/>
              <w:bottom w:val="single" w:color="auto" w:sz="6" w:space="0"/>
              <w:right w:val="single" w:color="auto" w:sz="6" w:space="0"/>
            </w:tcBorders>
            <w:noWrap w:val="0"/>
            <w:vAlign w:val="center"/>
          </w:tcPr>
          <w:p w14:paraId="782DA2C3">
            <w:pPr>
              <w:rPr>
                <w:rFonts w:hint="default" w:ascii="Times New Roman" w:hAnsi="Times New Roman" w:cs="Times New Roman"/>
                <w:sz w:val="20"/>
                <w:szCs w:val="20"/>
              </w:rPr>
            </w:pPr>
          </w:p>
        </w:tc>
        <w:tc>
          <w:tcPr>
            <w:tcW w:w="697" w:type="pct"/>
            <w:tcBorders>
              <w:top w:val="single" w:color="auto" w:sz="6" w:space="0"/>
              <w:left w:val="nil"/>
              <w:bottom w:val="single" w:color="auto" w:sz="6" w:space="0"/>
              <w:right w:val="single" w:color="auto" w:sz="6" w:space="0"/>
            </w:tcBorders>
            <w:noWrap w:val="0"/>
            <w:vAlign w:val="center"/>
          </w:tcPr>
          <w:p w14:paraId="4CAF5042">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kern w:val="2"/>
                <w:sz w:val="18"/>
                <w:szCs w:val="18"/>
              </w:rPr>
            </w:pPr>
            <w:r>
              <w:rPr>
                <w:rFonts w:hint="default" w:ascii="华文楷体" w:hAnsi="华文楷体" w:eastAsia="华文楷体" w:cs="华文楷体"/>
                <w:kern w:val="2"/>
                <w:sz w:val="18"/>
                <w:szCs w:val="18"/>
                <w:lang w:val="en-US" w:eastAsia="zh-CN" w:bidi="ar"/>
              </w:rPr>
              <w:t>外语素养</w:t>
            </w:r>
          </w:p>
        </w:tc>
        <w:tc>
          <w:tcPr>
            <w:tcW w:w="3881" w:type="pct"/>
            <w:tcBorders>
              <w:top w:val="single" w:color="auto" w:sz="6" w:space="0"/>
              <w:left w:val="nil"/>
              <w:bottom w:val="single" w:color="auto" w:sz="6" w:space="0"/>
              <w:right w:val="single" w:color="auto" w:sz="6" w:space="0"/>
            </w:tcBorders>
            <w:noWrap w:val="0"/>
            <w:vAlign w:val="center"/>
          </w:tcPr>
          <w:p w14:paraId="3B5F3C32">
            <w:pPr>
              <w:keepNext w:val="0"/>
              <w:keepLines w:val="0"/>
              <w:widowControl w:val="0"/>
              <w:suppressLineNumbers w:val="0"/>
              <w:spacing w:before="0" w:beforeAutospacing="0" w:after="0" w:afterAutospacing="0"/>
              <w:ind w:left="0" w:right="0"/>
              <w:jc w:val="both"/>
              <w:rPr>
                <w:rFonts w:hint="default" w:ascii="华文楷体" w:hAnsi="华文楷体" w:eastAsia="华文楷体" w:cs="华文楷体"/>
                <w:spacing w:val="-4"/>
                <w:kern w:val="2"/>
                <w:sz w:val="18"/>
                <w:szCs w:val="18"/>
              </w:rPr>
            </w:pPr>
            <w:r>
              <w:rPr>
                <w:rFonts w:hint="default" w:ascii="华文楷体" w:hAnsi="华文楷体" w:eastAsia="华文楷体" w:cs="华文楷体"/>
                <w:spacing w:val="-4"/>
                <w:kern w:val="2"/>
                <w:sz w:val="18"/>
                <w:szCs w:val="18"/>
                <w:lang w:val="en-US" w:eastAsia="zh-CN" w:bidi="ar"/>
              </w:rPr>
              <w:t>通过培养学生的英语综合应用能力，特别是听说能力，使他们在今后学习、工作和社会交往中能用英语有效地进行交际，提升学生的语言综合能力、文化素养和跨文化交际能力。</w:t>
            </w:r>
          </w:p>
        </w:tc>
      </w:tr>
      <w:tr w14:paraId="33ACF6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065" w:hRule="atLeast"/>
          <w:jc w:val="center"/>
        </w:trPr>
        <w:tc>
          <w:tcPr>
            <w:tcW w:w="420" w:type="pct"/>
            <w:vMerge w:val="restart"/>
            <w:tcBorders>
              <w:top w:val="nil"/>
              <w:left w:val="single" w:color="auto" w:sz="6" w:space="0"/>
              <w:bottom w:val="single" w:color="auto" w:sz="6" w:space="0"/>
              <w:right w:val="single" w:color="auto" w:sz="6" w:space="0"/>
            </w:tcBorders>
            <w:noWrap w:val="0"/>
            <w:vAlign w:val="center"/>
          </w:tcPr>
          <w:p w14:paraId="2DC9534C">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kern w:val="2"/>
                <w:sz w:val="18"/>
                <w:szCs w:val="18"/>
              </w:rPr>
            </w:pPr>
            <w:r>
              <w:rPr>
                <w:rFonts w:hint="default" w:ascii="华文楷体" w:hAnsi="华文楷体" w:eastAsia="华文楷体" w:cs="华文楷体"/>
                <w:kern w:val="2"/>
                <w:sz w:val="18"/>
                <w:szCs w:val="18"/>
                <w:lang w:val="en-US" w:eastAsia="zh-CN" w:bidi="ar"/>
              </w:rPr>
              <w:t>自然科学类</w:t>
            </w:r>
          </w:p>
        </w:tc>
        <w:tc>
          <w:tcPr>
            <w:tcW w:w="697" w:type="pct"/>
            <w:tcBorders>
              <w:top w:val="single" w:color="auto" w:sz="6" w:space="0"/>
              <w:left w:val="nil"/>
              <w:bottom w:val="single" w:color="auto" w:sz="6" w:space="0"/>
              <w:right w:val="single" w:color="auto" w:sz="6" w:space="0"/>
            </w:tcBorders>
            <w:noWrap w:val="0"/>
            <w:vAlign w:val="center"/>
          </w:tcPr>
          <w:p w14:paraId="6DDE7CEC">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kern w:val="2"/>
                <w:sz w:val="18"/>
                <w:szCs w:val="18"/>
              </w:rPr>
            </w:pPr>
            <w:r>
              <w:rPr>
                <w:rFonts w:hint="default" w:ascii="华文楷体" w:hAnsi="华文楷体" w:eastAsia="华文楷体" w:cs="华文楷体"/>
                <w:kern w:val="2"/>
                <w:sz w:val="18"/>
                <w:szCs w:val="18"/>
                <w:lang w:val="en-US" w:eastAsia="zh-CN" w:bidi="ar"/>
              </w:rPr>
              <w:t>科学与研究</w:t>
            </w:r>
          </w:p>
        </w:tc>
        <w:tc>
          <w:tcPr>
            <w:tcW w:w="3881" w:type="pct"/>
            <w:tcBorders>
              <w:top w:val="single" w:color="auto" w:sz="6" w:space="0"/>
              <w:left w:val="nil"/>
              <w:bottom w:val="single" w:color="auto" w:sz="6" w:space="0"/>
              <w:right w:val="single" w:color="auto" w:sz="6" w:space="0"/>
            </w:tcBorders>
            <w:noWrap w:val="0"/>
            <w:vAlign w:val="center"/>
          </w:tcPr>
          <w:p w14:paraId="0B147687">
            <w:pPr>
              <w:keepNext w:val="0"/>
              <w:keepLines w:val="0"/>
              <w:widowControl w:val="0"/>
              <w:suppressLineNumbers w:val="0"/>
              <w:spacing w:before="0" w:beforeAutospacing="0" w:after="0" w:afterAutospacing="0"/>
              <w:ind w:left="0" w:right="0"/>
              <w:jc w:val="both"/>
              <w:rPr>
                <w:rFonts w:hint="default" w:ascii="华文楷体" w:hAnsi="华文楷体" w:eastAsia="华文楷体" w:cs="华文楷体"/>
                <w:spacing w:val="-4"/>
                <w:kern w:val="2"/>
                <w:sz w:val="18"/>
                <w:szCs w:val="18"/>
              </w:rPr>
            </w:pPr>
            <w:r>
              <w:rPr>
                <w:rFonts w:hint="default" w:ascii="华文楷体" w:hAnsi="华文楷体" w:eastAsia="华文楷体" w:cs="华文楷体"/>
                <w:spacing w:val="-4"/>
                <w:kern w:val="2"/>
                <w:sz w:val="18"/>
                <w:szCs w:val="18"/>
                <w:lang w:val="en-US" w:eastAsia="zh-CN" w:bidi="ar"/>
              </w:rPr>
              <w:t>激发大学生的求知欲与对于科技未来发展的想象力和创造力，引导其了解自然现象与科技创造的规律，掌握自然科学研究的一般方法。培养大学生形成良好的数理思维、逻辑思维、创新思维意识，提升大学生的科学素养、运用科学知识和科学规律解决实际问题的能力、技术创新与创新实践的能力。</w:t>
            </w:r>
          </w:p>
        </w:tc>
      </w:tr>
      <w:tr w14:paraId="6BD1B2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924" w:hRule="atLeast"/>
          <w:jc w:val="center"/>
        </w:trPr>
        <w:tc>
          <w:tcPr>
            <w:tcW w:w="420" w:type="pct"/>
            <w:vMerge w:val="continue"/>
            <w:tcBorders>
              <w:top w:val="nil"/>
              <w:left w:val="single" w:color="auto" w:sz="6" w:space="0"/>
              <w:bottom w:val="single" w:color="auto" w:sz="6" w:space="0"/>
              <w:right w:val="single" w:color="auto" w:sz="6" w:space="0"/>
            </w:tcBorders>
            <w:noWrap w:val="0"/>
            <w:vAlign w:val="center"/>
          </w:tcPr>
          <w:p w14:paraId="5CD58C94">
            <w:pPr>
              <w:rPr>
                <w:rFonts w:hint="default" w:ascii="Times New Roman" w:hAnsi="Times New Roman" w:cs="Times New Roman"/>
                <w:sz w:val="20"/>
                <w:szCs w:val="20"/>
              </w:rPr>
            </w:pPr>
          </w:p>
        </w:tc>
        <w:tc>
          <w:tcPr>
            <w:tcW w:w="697" w:type="pct"/>
            <w:tcBorders>
              <w:top w:val="single" w:color="auto" w:sz="6" w:space="0"/>
              <w:left w:val="nil"/>
              <w:bottom w:val="single" w:color="auto" w:sz="6" w:space="0"/>
              <w:right w:val="single" w:color="auto" w:sz="6" w:space="0"/>
            </w:tcBorders>
            <w:noWrap w:val="0"/>
            <w:vAlign w:val="center"/>
          </w:tcPr>
          <w:p w14:paraId="67EB9A43">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kern w:val="2"/>
                <w:sz w:val="18"/>
                <w:szCs w:val="18"/>
              </w:rPr>
            </w:pPr>
            <w:r>
              <w:rPr>
                <w:rFonts w:hint="default" w:ascii="华文楷体" w:hAnsi="华文楷体" w:eastAsia="华文楷体" w:cs="华文楷体"/>
                <w:kern w:val="2"/>
                <w:sz w:val="18"/>
                <w:szCs w:val="18"/>
                <w:lang w:val="en-US" w:eastAsia="zh-CN" w:bidi="ar"/>
              </w:rPr>
              <w:t>健康与生活</w:t>
            </w:r>
          </w:p>
        </w:tc>
        <w:tc>
          <w:tcPr>
            <w:tcW w:w="3881" w:type="pct"/>
            <w:tcBorders>
              <w:top w:val="single" w:color="auto" w:sz="6" w:space="0"/>
              <w:left w:val="nil"/>
              <w:bottom w:val="single" w:color="auto" w:sz="6" w:space="0"/>
              <w:right w:val="single" w:color="auto" w:sz="6" w:space="0"/>
            </w:tcBorders>
            <w:noWrap w:val="0"/>
            <w:vAlign w:val="center"/>
          </w:tcPr>
          <w:p w14:paraId="207DEE1B">
            <w:pPr>
              <w:keepNext w:val="0"/>
              <w:keepLines w:val="0"/>
              <w:widowControl w:val="0"/>
              <w:suppressLineNumbers w:val="0"/>
              <w:spacing w:before="0" w:beforeAutospacing="0" w:after="0" w:afterAutospacing="0"/>
              <w:ind w:left="0" w:right="0"/>
              <w:jc w:val="both"/>
              <w:rPr>
                <w:rFonts w:hint="default" w:ascii="华文楷体" w:hAnsi="华文楷体" w:eastAsia="华文楷体" w:cs="华文楷体"/>
                <w:spacing w:val="-4"/>
                <w:kern w:val="2"/>
                <w:sz w:val="18"/>
                <w:szCs w:val="18"/>
              </w:rPr>
            </w:pPr>
            <w:r>
              <w:rPr>
                <w:rFonts w:hint="default" w:ascii="华文楷体" w:hAnsi="华文楷体" w:eastAsia="华文楷体" w:cs="华文楷体"/>
                <w:spacing w:val="-4"/>
                <w:kern w:val="2"/>
                <w:sz w:val="18"/>
                <w:szCs w:val="18"/>
                <w:lang w:val="en-US" w:eastAsia="zh-CN" w:bidi="ar"/>
              </w:rPr>
              <w:t>对开展健康教育、绿色生活和生命关怀，培养大学生绿色、健康的生活方式和阳光心态，促进大学生树立“人人为健康，健康为人人”公共卫生理念，倡导健康文明生活方式，激励大学生珍爱生命，提升健康水平与生命价值。</w:t>
            </w:r>
          </w:p>
        </w:tc>
      </w:tr>
      <w:tr w14:paraId="69ADCC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930" w:hRule="atLeast"/>
          <w:jc w:val="center"/>
        </w:trPr>
        <w:tc>
          <w:tcPr>
            <w:tcW w:w="420" w:type="pct"/>
            <w:vMerge w:val="continue"/>
            <w:tcBorders>
              <w:top w:val="nil"/>
              <w:left w:val="single" w:color="auto" w:sz="6" w:space="0"/>
              <w:bottom w:val="single" w:color="auto" w:sz="6" w:space="0"/>
              <w:right w:val="single" w:color="auto" w:sz="6" w:space="0"/>
            </w:tcBorders>
            <w:noWrap w:val="0"/>
            <w:vAlign w:val="center"/>
          </w:tcPr>
          <w:p w14:paraId="12945CC9">
            <w:pPr>
              <w:rPr>
                <w:rFonts w:hint="default" w:ascii="Times New Roman" w:hAnsi="Times New Roman" w:cs="Times New Roman"/>
                <w:sz w:val="20"/>
                <w:szCs w:val="20"/>
              </w:rPr>
            </w:pPr>
          </w:p>
        </w:tc>
        <w:tc>
          <w:tcPr>
            <w:tcW w:w="697" w:type="pct"/>
            <w:tcBorders>
              <w:top w:val="single" w:color="auto" w:sz="6" w:space="0"/>
              <w:left w:val="nil"/>
              <w:bottom w:val="single" w:color="auto" w:sz="6" w:space="0"/>
              <w:right w:val="single" w:color="auto" w:sz="6" w:space="0"/>
            </w:tcBorders>
            <w:noWrap w:val="0"/>
            <w:vAlign w:val="center"/>
          </w:tcPr>
          <w:p w14:paraId="0EA6CEFD">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kern w:val="2"/>
                <w:sz w:val="18"/>
                <w:szCs w:val="18"/>
              </w:rPr>
            </w:pPr>
            <w:r>
              <w:rPr>
                <w:rFonts w:hint="default" w:ascii="华文楷体" w:hAnsi="华文楷体" w:eastAsia="华文楷体" w:cs="华文楷体"/>
                <w:kern w:val="2"/>
                <w:sz w:val="18"/>
                <w:szCs w:val="18"/>
                <w:lang w:val="en-US" w:eastAsia="zh-CN" w:bidi="ar"/>
              </w:rPr>
              <w:t>数智素养</w:t>
            </w:r>
          </w:p>
        </w:tc>
        <w:tc>
          <w:tcPr>
            <w:tcW w:w="3881" w:type="pct"/>
            <w:tcBorders>
              <w:top w:val="single" w:color="auto" w:sz="6" w:space="0"/>
              <w:left w:val="nil"/>
              <w:bottom w:val="single" w:color="auto" w:sz="6" w:space="0"/>
              <w:right w:val="single" w:color="auto" w:sz="6" w:space="0"/>
            </w:tcBorders>
            <w:noWrap w:val="0"/>
            <w:vAlign w:val="center"/>
          </w:tcPr>
          <w:p w14:paraId="6D279910">
            <w:pPr>
              <w:keepNext w:val="0"/>
              <w:keepLines w:val="0"/>
              <w:widowControl w:val="0"/>
              <w:suppressLineNumbers w:val="0"/>
              <w:spacing w:before="0" w:beforeAutospacing="0" w:after="0" w:afterAutospacing="0"/>
              <w:ind w:left="0" w:right="0"/>
              <w:jc w:val="both"/>
              <w:rPr>
                <w:rFonts w:hint="default" w:ascii="华文楷体" w:hAnsi="华文楷体" w:eastAsia="华文楷体" w:cs="华文楷体"/>
                <w:spacing w:val="-4"/>
                <w:kern w:val="2"/>
                <w:sz w:val="18"/>
                <w:szCs w:val="18"/>
              </w:rPr>
            </w:pPr>
            <w:r>
              <w:rPr>
                <w:rFonts w:hint="default" w:ascii="华文楷体" w:hAnsi="华文楷体" w:eastAsia="华文楷体" w:cs="华文楷体"/>
                <w:spacing w:val="-4"/>
                <w:kern w:val="2"/>
                <w:sz w:val="18"/>
                <w:szCs w:val="18"/>
                <w:lang w:val="en-US" w:eastAsia="zh-CN" w:bidi="ar"/>
              </w:rPr>
              <w:t>引导学生正确认识和理解我们所处的智能时代，提高学生对人工智能应用和发展的认知，能够从跨学科的视角思考人工智能伦理，帮助学生掌握未来在某个垂直领域开发或改造人工智能工具需要的基础知识和能力，培养学生面对未来智能化时代解决多学科领域复杂问题的创新能力。</w:t>
            </w:r>
          </w:p>
        </w:tc>
      </w:tr>
      <w:tr w14:paraId="655593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001" w:hRule="atLeast"/>
          <w:jc w:val="center"/>
        </w:trPr>
        <w:tc>
          <w:tcPr>
            <w:tcW w:w="420" w:type="pct"/>
            <w:tcBorders>
              <w:top w:val="single" w:color="auto" w:sz="6" w:space="0"/>
              <w:left w:val="single" w:color="auto" w:sz="6" w:space="0"/>
              <w:bottom w:val="single" w:color="auto" w:sz="6" w:space="0"/>
              <w:right w:val="single" w:color="auto" w:sz="6" w:space="0"/>
            </w:tcBorders>
            <w:noWrap w:val="0"/>
            <w:vAlign w:val="center"/>
          </w:tcPr>
          <w:p w14:paraId="604E7C58">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kern w:val="2"/>
                <w:sz w:val="18"/>
                <w:szCs w:val="18"/>
              </w:rPr>
            </w:pPr>
            <w:r>
              <w:rPr>
                <w:rFonts w:hint="default" w:ascii="华文楷体" w:hAnsi="华文楷体" w:eastAsia="华文楷体" w:cs="华文楷体"/>
                <w:kern w:val="2"/>
                <w:sz w:val="18"/>
                <w:szCs w:val="18"/>
                <w:lang w:val="en-US" w:eastAsia="zh-CN" w:bidi="ar"/>
              </w:rPr>
              <w:t>综合素质与自我发展课程</w:t>
            </w:r>
          </w:p>
        </w:tc>
        <w:tc>
          <w:tcPr>
            <w:tcW w:w="697" w:type="pct"/>
            <w:tcBorders>
              <w:top w:val="single" w:color="auto" w:sz="6" w:space="0"/>
              <w:left w:val="nil"/>
              <w:bottom w:val="single" w:color="auto" w:sz="6" w:space="0"/>
              <w:right w:val="single" w:color="auto" w:sz="6" w:space="0"/>
            </w:tcBorders>
            <w:noWrap w:val="0"/>
            <w:vAlign w:val="center"/>
          </w:tcPr>
          <w:p w14:paraId="7E06D39F">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kern w:val="2"/>
                <w:sz w:val="18"/>
                <w:szCs w:val="18"/>
              </w:rPr>
            </w:pPr>
            <w:r>
              <w:rPr>
                <w:rFonts w:hint="default" w:ascii="华文楷体" w:hAnsi="华文楷体" w:eastAsia="华文楷体" w:cs="华文楷体"/>
                <w:kern w:val="2"/>
                <w:sz w:val="18"/>
                <w:szCs w:val="18"/>
                <w:lang w:val="en-US" w:eastAsia="zh-CN" w:bidi="ar"/>
              </w:rPr>
              <w:t>各类讲座</w:t>
            </w:r>
          </w:p>
        </w:tc>
        <w:tc>
          <w:tcPr>
            <w:tcW w:w="3881" w:type="pct"/>
            <w:tcBorders>
              <w:top w:val="single" w:color="auto" w:sz="6" w:space="0"/>
              <w:left w:val="nil"/>
              <w:bottom w:val="single" w:color="auto" w:sz="6" w:space="0"/>
              <w:right w:val="single" w:color="auto" w:sz="6" w:space="0"/>
            </w:tcBorders>
            <w:noWrap w:val="0"/>
            <w:vAlign w:val="center"/>
          </w:tcPr>
          <w:p w14:paraId="7763EE51">
            <w:pPr>
              <w:keepNext w:val="0"/>
              <w:keepLines w:val="0"/>
              <w:widowControl w:val="0"/>
              <w:suppressLineNumbers w:val="0"/>
              <w:spacing w:before="0" w:beforeAutospacing="0" w:after="0" w:afterAutospacing="0"/>
              <w:ind w:left="0" w:right="0"/>
              <w:jc w:val="both"/>
              <w:rPr>
                <w:rFonts w:hint="default" w:ascii="华文楷体" w:hAnsi="华文楷体" w:eastAsia="华文楷体" w:cs="华文楷体"/>
                <w:spacing w:val="-4"/>
                <w:kern w:val="2"/>
                <w:sz w:val="18"/>
                <w:szCs w:val="18"/>
              </w:rPr>
            </w:pPr>
            <w:r>
              <w:rPr>
                <w:rFonts w:hint="default" w:ascii="华文楷体" w:hAnsi="华文楷体" w:eastAsia="华文楷体" w:cs="华文楷体"/>
                <w:spacing w:val="-4"/>
                <w:kern w:val="2"/>
                <w:sz w:val="18"/>
                <w:szCs w:val="18"/>
                <w:lang w:val="en-US" w:eastAsia="zh-CN" w:bidi="ar"/>
              </w:rPr>
              <w:t>1.5学分，至少参与10次讲座。</w:t>
            </w:r>
          </w:p>
        </w:tc>
      </w:tr>
    </w:tbl>
    <w:p w14:paraId="3F8EAA2E">
      <w:pPr>
        <w:keepNext w:val="0"/>
        <w:keepLines w:val="0"/>
        <w:widowControl w:val="0"/>
        <w:suppressLineNumbers w:val="0"/>
        <w:spacing w:before="0" w:beforeAutospacing="0" w:after="0" w:afterAutospacing="0"/>
        <w:ind w:left="0" w:right="0" w:firstLine="180" w:firstLineChars="100"/>
        <w:jc w:val="left"/>
        <w:rPr>
          <w:rFonts w:hint="default" w:ascii="华文楷体" w:hAnsi="华文楷体" w:eastAsia="华文楷体" w:cs="华文楷体"/>
          <w:spacing w:val="-4"/>
          <w:kern w:val="2"/>
          <w:sz w:val="18"/>
          <w:szCs w:val="18"/>
        </w:rPr>
      </w:pPr>
      <w:r>
        <w:rPr>
          <w:rFonts w:hint="default" w:ascii="华文楷体" w:hAnsi="华文楷体" w:eastAsia="华文楷体" w:cs="华文楷体"/>
          <w:bCs/>
          <w:kern w:val="2"/>
          <w:sz w:val="18"/>
          <w:szCs w:val="18"/>
          <w:lang w:val="en-US" w:eastAsia="zh-CN" w:bidi="ar"/>
        </w:rPr>
        <w:t>备注：</w:t>
      </w:r>
      <w:r>
        <w:rPr>
          <w:rFonts w:hint="default" w:ascii="华文楷体" w:hAnsi="华文楷体" w:eastAsia="华文楷体" w:cs="华文楷体"/>
          <w:spacing w:val="-4"/>
          <w:kern w:val="2"/>
          <w:sz w:val="18"/>
          <w:szCs w:val="18"/>
          <w:lang w:val="en-US" w:eastAsia="zh-CN" w:bidi="ar"/>
        </w:rPr>
        <w:t>1.每个课程群包含多门通识课程，具体课程开设情况见选课通知；</w:t>
      </w:r>
    </w:p>
    <w:p w14:paraId="60F014BD">
      <w:pPr>
        <w:keepNext w:val="0"/>
        <w:keepLines w:val="0"/>
        <w:widowControl w:val="0"/>
        <w:suppressLineNumbers w:val="0"/>
        <w:spacing w:before="0" w:beforeAutospacing="0" w:after="0" w:afterAutospacing="0"/>
        <w:ind w:left="0" w:right="0" w:firstLine="688" w:firstLineChars="400"/>
        <w:jc w:val="left"/>
        <w:rPr>
          <w:rFonts w:hint="default" w:ascii="华文楷体" w:hAnsi="华文楷体" w:eastAsia="华文楷体" w:cs="华文楷体"/>
          <w:spacing w:val="-4"/>
          <w:kern w:val="2"/>
          <w:sz w:val="18"/>
          <w:szCs w:val="18"/>
        </w:rPr>
      </w:pPr>
      <w:r>
        <w:rPr>
          <w:rFonts w:hint="default" w:ascii="华文楷体" w:hAnsi="华文楷体" w:eastAsia="华文楷体" w:cs="华文楷体"/>
          <w:spacing w:val="-4"/>
          <w:kern w:val="2"/>
          <w:sz w:val="18"/>
          <w:szCs w:val="18"/>
          <w:lang w:val="en-US" w:eastAsia="zh-CN" w:bidi="ar"/>
        </w:rPr>
        <w:t>2.非师范专业学生必须在“哲学与思维”模块的“</w:t>
      </w:r>
      <w:r>
        <w:rPr>
          <w:rFonts w:hint="default" w:ascii="华文楷体" w:hAnsi="华文楷体" w:eastAsia="华文楷体" w:cs="华文楷体"/>
          <w:kern w:val="2"/>
          <w:sz w:val="18"/>
          <w:szCs w:val="18"/>
          <w:lang w:val="en-US" w:eastAsia="zh-CN" w:bidi="ar"/>
        </w:rPr>
        <w:t>创新与逻辑、批判性思维</w:t>
      </w:r>
      <w:r>
        <w:rPr>
          <w:rFonts w:hint="default" w:ascii="华文楷体" w:hAnsi="华文楷体" w:eastAsia="华文楷体" w:cs="华文楷体"/>
          <w:spacing w:val="-4"/>
          <w:kern w:val="2"/>
          <w:sz w:val="18"/>
          <w:szCs w:val="18"/>
          <w:lang w:val="en-US" w:eastAsia="zh-CN" w:bidi="ar"/>
        </w:rPr>
        <w:t>”课群中选修《逻辑与批判性思维》0.5学分；师范专业学生必须在“沟通与领导”模块的“</w:t>
      </w:r>
      <w:r>
        <w:rPr>
          <w:rFonts w:hint="default" w:ascii="华文楷体" w:hAnsi="华文楷体" w:eastAsia="华文楷体" w:cs="华文楷体"/>
          <w:kern w:val="2"/>
          <w:sz w:val="18"/>
          <w:szCs w:val="18"/>
          <w:lang w:val="en-US" w:eastAsia="zh-CN" w:bidi="ar"/>
        </w:rPr>
        <w:t>沟通能力与技巧</w:t>
      </w:r>
      <w:r>
        <w:rPr>
          <w:rFonts w:hint="default" w:ascii="华文楷体" w:hAnsi="华文楷体" w:eastAsia="华文楷体" w:cs="华文楷体"/>
          <w:spacing w:val="-4"/>
          <w:kern w:val="2"/>
          <w:sz w:val="18"/>
          <w:szCs w:val="18"/>
          <w:lang w:val="en-US" w:eastAsia="zh-CN" w:bidi="ar"/>
        </w:rPr>
        <w:t>”课群中选修《形象与礼仪》课程0.5学分；</w:t>
      </w:r>
    </w:p>
    <w:p w14:paraId="01E1EC91">
      <w:pPr>
        <w:keepNext w:val="0"/>
        <w:keepLines w:val="0"/>
        <w:widowControl w:val="0"/>
        <w:suppressLineNumbers w:val="0"/>
        <w:spacing w:before="0" w:beforeAutospacing="0" w:after="0" w:afterAutospacing="0"/>
        <w:ind w:left="0" w:right="0" w:firstLine="688" w:firstLineChars="400"/>
        <w:jc w:val="left"/>
        <w:rPr>
          <w:rFonts w:hint="default" w:ascii="华文楷体" w:hAnsi="华文楷体" w:eastAsia="华文楷体" w:cs="华文楷体"/>
          <w:spacing w:val="-4"/>
          <w:kern w:val="2"/>
          <w:sz w:val="18"/>
          <w:szCs w:val="18"/>
        </w:rPr>
      </w:pPr>
      <w:r>
        <w:rPr>
          <w:rFonts w:hint="default" w:ascii="华文楷体" w:hAnsi="华文楷体" w:eastAsia="华文楷体" w:cs="华文楷体"/>
          <w:spacing w:val="-4"/>
          <w:kern w:val="2"/>
          <w:sz w:val="18"/>
          <w:szCs w:val="18"/>
          <w:lang w:val="en-US" w:eastAsia="zh-CN" w:bidi="ar"/>
        </w:rPr>
        <w:t>3.“艺术素养”模块中选修不少于2学分；</w:t>
      </w:r>
    </w:p>
    <w:p w14:paraId="0AF4A774">
      <w:pPr>
        <w:keepNext w:val="0"/>
        <w:keepLines w:val="0"/>
        <w:widowControl w:val="0"/>
        <w:suppressLineNumbers w:val="0"/>
        <w:spacing w:before="0" w:beforeAutospacing="0" w:after="0" w:afterAutospacing="0"/>
        <w:ind w:left="0" w:right="0" w:firstLine="688" w:firstLineChars="400"/>
        <w:jc w:val="left"/>
        <w:rPr>
          <w:rFonts w:hint="default" w:ascii="华文楷体" w:hAnsi="华文楷体" w:eastAsia="华文楷体" w:cs="华文楷体"/>
          <w:spacing w:val="-4"/>
          <w:kern w:val="2"/>
          <w:sz w:val="18"/>
          <w:szCs w:val="18"/>
        </w:rPr>
      </w:pPr>
      <w:r>
        <w:rPr>
          <w:rFonts w:hint="default" w:ascii="华文楷体" w:hAnsi="华文楷体" w:eastAsia="华文楷体" w:cs="华文楷体"/>
          <w:spacing w:val="-4"/>
          <w:kern w:val="2"/>
          <w:sz w:val="18"/>
          <w:szCs w:val="18"/>
          <w:lang w:val="en-US" w:eastAsia="zh-CN" w:bidi="ar"/>
        </w:rPr>
        <w:t>4.“外语素养”模块中选修不少于2学分；</w:t>
      </w:r>
    </w:p>
    <w:p w14:paraId="00D4DDA1">
      <w:pPr>
        <w:keepNext w:val="0"/>
        <w:keepLines w:val="0"/>
        <w:widowControl w:val="0"/>
        <w:suppressLineNumbers w:val="0"/>
        <w:spacing w:before="0" w:beforeAutospacing="0" w:after="0" w:afterAutospacing="0"/>
        <w:ind w:left="0" w:right="0" w:firstLine="688" w:firstLineChars="400"/>
        <w:jc w:val="left"/>
        <w:rPr>
          <w:rFonts w:hint="default" w:ascii="华文楷体" w:hAnsi="华文楷体" w:eastAsia="华文楷体" w:cs="华文楷体"/>
          <w:spacing w:val="-4"/>
          <w:kern w:val="2"/>
          <w:sz w:val="18"/>
          <w:szCs w:val="18"/>
        </w:rPr>
      </w:pPr>
      <w:r>
        <w:rPr>
          <w:rFonts w:hint="default" w:ascii="华文楷体" w:hAnsi="华文楷体" w:eastAsia="华文楷体" w:cs="华文楷体"/>
          <w:spacing w:val="-4"/>
          <w:kern w:val="2"/>
          <w:sz w:val="18"/>
          <w:szCs w:val="18"/>
          <w:lang w:val="en-US" w:eastAsia="zh-CN" w:bidi="ar"/>
        </w:rPr>
        <w:t>5.“数智素养”模块中选修不少于2学分，</w:t>
      </w:r>
    </w:p>
    <w:p w14:paraId="4FB84DC2">
      <w:pPr>
        <w:keepNext w:val="0"/>
        <w:keepLines w:val="0"/>
        <w:widowControl w:val="0"/>
        <w:suppressLineNumbers w:val="0"/>
        <w:spacing w:before="0" w:beforeAutospacing="0" w:after="0" w:afterAutospacing="0"/>
        <w:ind w:left="0" w:right="0" w:firstLine="688" w:firstLineChars="400"/>
        <w:jc w:val="left"/>
        <w:rPr>
          <w:rFonts w:hint="default" w:ascii="华文楷体" w:hAnsi="华文楷体" w:eastAsia="华文楷体" w:cs="华文楷体"/>
          <w:spacing w:val="-4"/>
          <w:kern w:val="2"/>
          <w:sz w:val="18"/>
          <w:szCs w:val="18"/>
        </w:rPr>
      </w:pPr>
      <w:r>
        <w:rPr>
          <w:rFonts w:hint="default" w:ascii="华文楷体" w:hAnsi="华文楷体" w:eastAsia="华文楷体" w:cs="华文楷体"/>
          <w:spacing w:val="-4"/>
          <w:kern w:val="2"/>
          <w:sz w:val="18"/>
          <w:szCs w:val="18"/>
          <w:lang w:val="en-US" w:eastAsia="zh-CN" w:bidi="ar"/>
        </w:rPr>
        <w:t>6.“四史”模块中选修不少于1学分。</w:t>
      </w:r>
    </w:p>
    <w:p w14:paraId="6B967CA9">
      <w:pPr>
        <w:keepNext w:val="0"/>
        <w:keepLines w:val="0"/>
        <w:widowControl w:val="0"/>
        <w:suppressLineNumbers w:val="0"/>
        <w:spacing w:before="0" w:beforeAutospacing="0" w:after="0" w:afterAutospacing="0"/>
        <w:ind w:left="0" w:right="0" w:firstLine="688" w:firstLineChars="400"/>
        <w:jc w:val="both"/>
        <w:rPr>
          <w:rFonts w:hint="default" w:ascii="华文楷体" w:hAnsi="华文楷体" w:eastAsia="华文楷体" w:cs="华文楷体"/>
          <w:bCs/>
          <w:kern w:val="2"/>
          <w:sz w:val="18"/>
          <w:szCs w:val="18"/>
        </w:rPr>
      </w:pPr>
      <w:r>
        <w:rPr>
          <w:rFonts w:hint="default" w:ascii="华文楷体" w:hAnsi="华文楷体" w:eastAsia="华文楷体" w:cs="华文楷体"/>
          <w:spacing w:val="-4"/>
          <w:kern w:val="2"/>
          <w:sz w:val="18"/>
          <w:szCs w:val="18"/>
          <w:lang w:val="en-US" w:eastAsia="zh-CN" w:bidi="ar"/>
        </w:rPr>
        <w:t>7.总学分不少于12学分</w:t>
      </w:r>
      <w:r>
        <w:rPr>
          <w:rFonts w:hint="default" w:ascii="华文楷体" w:hAnsi="华文楷体" w:eastAsia="华文楷体" w:cs="华文楷体"/>
          <w:bCs/>
          <w:kern w:val="2"/>
          <w:sz w:val="18"/>
          <w:szCs w:val="18"/>
          <w:lang w:val="en-US" w:eastAsia="zh-CN" w:bidi="ar"/>
        </w:rPr>
        <w:t>。</w:t>
      </w:r>
    </w:p>
    <w:p w14:paraId="6637E78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方正小标宋简体">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DotumChe">
    <w:panose1 w:val="020B0609000101010101"/>
    <w:charset w:val="81"/>
    <w:family w:val="auto"/>
    <w:pitch w:val="default"/>
    <w:sig w:usb0="B00002AF" w:usb1="69D77CFB" w:usb2="00000030" w:usb3="00000000" w:csb0="4008009F" w:csb1="DFD70000"/>
  </w:font>
  <w:font w:name="Microsoft YaHei UI">
    <w:panose1 w:val="020B0503020204020204"/>
    <w:charset w:val="86"/>
    <w:family w:val="auto"/>
    <w:pitch w:val="default"/>
    <w:sig w:usb0="80000287" w:usb1="28CF3C52" w:usb2="00000016" w:usb3="00000000" w:csb0="0004001F" w:csb1="00000000"/>
  </w:font>
  <w:font w:name="Malgun Gothic">
    <w:panose1 w:val="020B0503020000020004"/>
    <w:charset w:val="81"/>
    <w:family w:val="auto"/>
    <w:pitch w:val="default"/>
    <w:sig w:usb0="900002AF" w:usb1="01D77CFB" w:usb2="00000012" w:usb3="00000000" w:csb0="00080001" w:csb1="00000000"/>
  </w:font>
  <w:font w:name="DFKai-SB">
    <w:panose1 w:val="03000509000000000000"/>
    <w:charset w:val="88"/>
    <w:family w:val="auto"/>
    <w:pitch w:val="default"/>
    <w:sig w:usb0="00000003" w:usb1="082E0000"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BF7DA9"/>
    <w:rsid w:val="0A9358E8"/>
    <w:rsid w:val="16BF7DA9"/>
    <w:rsid w:val="43DE580C"/>
    <w:rsid w:val="4BDE7891"/>
    <w:rsid w:val="6A7F25E1"/>
    <w:rsid w:val="712B2562"/>
    <w:rsid w:val="7BA676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1336</Words>
  <Characters>1349</Characters>
  <Lines>0</Lines>
  <Paragraphs>0</Paragraphs>
  <TotalTime>62</TotalTime>
  <ScaleCrop>false</ScaleCrop>
  <LinksUpToDate>false</LinksUpToDate>
  <CharactersWithSpaces>1350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2026-01-15T02:17:00Z</dcterms:created>
  <dc:creator>周慧</dc:creator>
  <cp:lastModifiedBy>周慧</cp:lastModifiedBy>
  <cp:lastPrinted>2026-01-20T02:03:49Z</cp:lastPrinted>
  <dcterms:modified xsi:type="dcterms:W3CDTF">2026-01-20T02:05:07Z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FF2D2C856F664EE5B3FD3E3127217622_13</vt:lpwstr>
  </property>
  <property fmtid="{D5CDD505-2E9C-101B-9397-08002B2CF9AE}" pid="4" name="KSOTemplateDocerSaveRecord">
    <vt:lpwstr>eyJoZGlkIjoiNDYyMWMzNDJjOTAyMDExZGMzOGM0NDRjOGFhZTg4ZmEiLCJ1c2VySWQiOiIxNjM1OTQ0NDI4In0=</vt:lpwstr>
  </property>
</Properties>
</file>