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D5FAE">
      <w:pPr>
        <w:rPr>
          <w:rFonts w:hint="default" w:eastAsia="宋体" w:asciiTheme="minorHAnsi" w:hAnsiTheme="minorHAnsi"/>
          <w:sz w:val="24"/>
          <w:lang w:val="en-US" w:eastAsia="zh-CN"/>
        </w:rPr>
      </w:pPr>
      <w:r>
        <w:rPr>
          <w:rFonts w:hint="eastAsia" w:asciiTheme="minorHAnsi" w:hAnsiTheme="minorHAnsi"/>
          <w:sz w:val="24"/>
        </w:rPr>
        <w:t>附件</w:t>
      </w:r>
      <w:r>
        <w:rPr>
          <w:rFonts w:hint="eastAsia" w:asciiTheme="minorHAnsi" w:hAnsiTheme="minorHAnsi"/>
          <w:sz w:val="24"/>
          <w:lang w:val="en-US" w:eastAsia="zh-CN"/>
        </w:rPr>
        <w:t>1:</w:t>
      </w:r>
    </w:p>
    <w:p w14:paraId="0682A521">
      <w:pPr>
        <w:jc w:val="left"/>
        <w:rPr>
          <w:rFonts w:hint="eastAsia" w:ascii="方正小标宋简体" w:eastAsia="方正小标宋简体"/>
          <w:sz w:val="21"/>
          <w:szCs w:val="21"/>
        </w:rPr>
      </w:pPr>
      <w:r>
        <w:rPr>
          <w:rFonts w:hint="eastAsia" w:asciiTheme="minorHAnsi" w:hAnsiTheme="minorHAnsi"/>
          <w:sz w:val="24"/>
          <w:lang w:val="en-US" w:eastAsia="zh-CN"/>
        </w:rPr>
        <w:t>21</w:t>
      </w:r>
      <w:r>
        <w:rPr>
          <w:rFonts w:hint="eastAsia" w:asciiTheme="minorHAnsi" w:hAnsiTheme="minorHAnsi"/>
          <w:sz w:val="24"/>
        </w:rPr>
        <w:t>版</w:t>
      </w:r>
      <w:r>
        <w:rPr>
          <w:rFonts w:hint="eastAsia"/>
          <w:sz w:val="24"/>
        </w:rPr>
        <w:t>本科人才</w:t>
      </w:r>
      <w:r>
        <w:rPr>
          <w:rFonts w:hint="eastAsia" w:asciiTheme="minorHAnsi" w:hAnsiTheme="minorHAnsi"/>
          <w:sz w:val="24"/>
        </w:rPr>
        <w:t>培养方案</w:t>
      </w:r>
    </w:p>
    <w:p w14:paraId="66E2AF2E">
      <w:pPr>
        <w:jc w:val="center"/>
        <w:rPr>
          <w:rFonts w:hint="eastAsia"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通识教育课程平台</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8"/>
        <w:gridCol w:w="1172"/>
        <w:gridCol w:w="4884"/>
        <w:gridCol w:w="2487"/>
      </w:tblGrid>
      <w:tr w14:paraId="0EB26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1" w:hRule="atLeast"/>
          <w:jc w:val="center"/>
        </w:trPr>
        <w:tc>
          <w:tcPr>
            <w:tcW w:w="788" w:type="dxa"/>
            <w:tcBorders>
              <w:top w:val="single" w:color="auto" w:sz="6" w:space="0"/>
              <w:left w:val="single" w:color="auto" w:sz="6" w:space="0"/>
              <w:bottom w:val="single" w:color="auto" w:sz="6" w:space="0"/>
              <w:right w:val="single" w:color="auto" w:sz="6" w:space="0"/>
            </w:tcBorders>
            <w:noWrap w:val="0"/>
            <w:vAlign w:val="center"/>
          </w:tcPr>
          <w:p w14:paraId="68E52BD3">
            <w:pPr>
              <w:jc w:val="center"/>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类型</w:t>
            </w:r>
          </w:p>
        </w:tc>
        <w:tc>
          <w:tcPr>
            <w:tcW w:w="1172" w:type="dxa"/>
            <w:tcBorders>
              <w:top w:val="single" w:color="auto" w:sz="6" w:space="0"/>
              <w:left w:val="single" w:color="auto" w:sz="6" w:space="0"/>
              <w:bottom w:val="single" w:color="auto" w:sz="6" w:space="0"/>
              <w:right w:val="single" w:color="auto" w:sz="6" w:space="0"/>
            </w:tcBorders>
            <w:noWrap w:val="0"/>
            <w:vAlign w:val="center"/>
          </w:tcPr>
          <w:p w14:paraId="5683A6B8">
            <w:pPr>
              <w:jc w:val="center"/>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模块</w:t>
            </w:r>
          </w:p>
          <w:p w14:paraId="6CA6DA02">
            <w:pPr>
              <w:jc w:val="center"/>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名称</w:t>
            </w:r>
          </w:p>
        </w:tc>
        <w:tc>
          <w:tcPr>
            <w:tcW w:w="4884" w:type="dxa"/>
            <w:tcBorders>
              <w:top w:val="single" w:color="auto" w:sz="6" w:space="0"/>
              <w:left w:val="single" w:color="auto" w:sz="6" w:space="0"/>
              <w:bottom w:val="single" w:color="auto" w:sz="6" w:space="0"/>
              <w:right w:val="single" w:color="auto" w:sz="6" w:space="0"/>
            </w:tcBorders>
            <w:noWrap w:val="0"/>
            <w:vAlign w:val="center"/>
          </w:tcPr>
          <w:p w14:paraId="3A030B5D">
            <w:pPr>
              <w:jc w:val="center"/>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教学目标</w:t>
            </w:r>
          </w:p>
        </w:tc>
        <w:tc>
          <w:tcPr>
            <w:tcW w:w="2487" w:type="dxa"/>
            <w:tcBorders>
              <w:top w:val="single" w:color="auto" w:sz="6" w:space="0"/>
              <w:left w:val="single" w:color="auto" w:sz="6" w:space="0"/>
              <w:bottom w:val="single" w:color="auto" w:sz="6" w:space="0"/>
              <w:right w:val="single" w:color="auto" w:sz="6" w:space="0"/>
            </w:tcBorders>
            <w:noWrap w:val="0"/>
            <w:vAlign w:val="center"/>
          </w:tcPr>
          <w:p w14:paraId="4B8000EF">
            <w:pPr>
              <w:jc w:val="center"/>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课程群</w:t>
            </w:r>
          </w:p>
        </w:tc>
      </w:tr>
      <w:tr w14:paraId="37EDB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79" w:hRule="atLeast"/>
          <w:jc w:val="center"/>
        </w:trPr>
        <w:tc>
          <w:tcPr>
            <w:tcW w:w="788" w:type="dxa"/>
            <w:vMerge w:val="restart"/>
            <w:tcBorders>
              <w:top w:val="single" w:color="auto" w:sz="6" w:space="0"/>
              <w:left w:val="single" w:color="auto" w:sz="6" w:space="0"/>
              <w:bottom w:val="single" w:color="auto" w:sz="6" w:space="0"/>
              <w:right w:val="single" w:color="auto" w:sz="6" w:space="0"/>
            </w:tcBorders>
            <w:noWrap w:val="0"/>
            <w:vAlign w:val="center"/>
          </w:tcPr>
          <w:p w14:paraId="4E855D8C">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人文艺术类</w:t>
            </w:r>
          </w:p>
        </w:tc>
        <w:tc>
          <w:tcPr>
            <w:tcW w:w="1172" w:type="dxa"/>
            <w:tcBorders>
              <w:top w:val="single" w:color="auto" w:sz="6" w:space="0"/>
              <w:left w:val="single" w:color="auto" w:sz="6" w:space="0"/>
              <w:bottom w:val="single" w:color="auto" w:sz="6" w:space="0"/>
              <w:right w:val="single" w:color="auto" w:sz="6" w:space="0"/>
            </w:tcBorders>
            <w:noWrap w:val="0"/>
            <w:vAlign w:val="center"/>
          </w:tcPr>
          <w:p w14:paraId="1C577B92">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哲学与思维</w:t>
            </w:r>
          </w:p>
        </w:tc>
        <w:tc>
          <w:tcPr>
            <w:tcW w:w="4884" w:type="dxa"/>
            <w:tcBorders>
              <w:top w:val="single" w:color="auto" w:sz="6" w:space="0"/>
              <w:left w:val="single" w:color="auto" w:sz="6" w:space="0"/>
              <w:bottom w:val="single" w:color="auto" w:sz="6" w:space="0"/>
              <w:right w:val="single" w:color="auto" w:sz="6" w:space="0"/>
            </w:tcBorders>
            <w:noWrap w:val="0"/>
            <w:vAlign w:val="center"/>
          </w:tcPr>
          <w:p w14:paraId="223548C5">
            <w:pPr>
              <w:rPr>
                <w:rFonts w:hint="eastAsia" w:ascii="宋体" w:hAnsi="宋体"/>
                <w:color w:val="000000" w:themeColor="text1"/>
                <w:spacing w:val="-4"/>
                <w:sz w:val="18"/>
                <w:szCs w:val="18"/>
                <w14:textFill>
                  <w14:solidFill>
                    <w14:schemeClr w14:val="tx1"/>
                  </w14:solidFill>
                </w14:textFill>
              </w:rPr>
            </w:pPr>
            <w:r>
              <w:rPr>
                <w:rFonts w:hint="eastAsia" w:ascii="宋体" w:hAnsi="宋体"/>
                <w:color w:val="000000" w:themeColor="text1"/>
                <w:spacing w:val="-4"/>
                <w:sz w:val="18"/>
                <w:szCs w:val="18"/>
                <w14:textFill>
                  <w14:solidFill>
                    <w14:schemeClr w14:val="tx1"/>
                  </w14:solidFill>
                </w14:textFill>
              </w:rPr>
              <w:t>引导大学生了解不同哲学体系的精髓、拓展思维的广度与深度，掌握批判性思维方法，养成批判性思维习惯，培养大学生的哲学思辨</w:t>
            </w:r>
            <w:bookmarkStart w:id="0" w:name="_GoBack"/>
            <w:bookmarkEnd w:id="0"/>
            <w:r>
              <w:rPr>
                <w:rFonts w:hint="eastAsia" w:ascii="宋体" w:hAnsi="宋体"/>
                <w:color w:val="000000" w:themeColor="text1"/>
                <w:spacing w:val="-4"/>
                <w:sz w:val="18"/>
                <w:szCs w:val="18"/>
                <w14:textFill>
                  <w14:solidFill>
                    <w14:schemeClr w14:val="tx1"/>
                  </w14:solidFill>
                </w14:textFill>
              </w:rPr>
              <w:t>能力、批判意识和创新精神。</w:t>
            </w:r>
          </w:p>
        </w:tc>
        <w:tc>
          <w:tcPr>
            <w:tcW w:w="2487" w:type="dxa"/>
            <w:tcBorders>
              <w:top w:val="single" w:color="auto" w:sz="6" w:space="0"/>
              <w:left w:val="single" w:color="auto" w:sz="6" w:space="0"/>
              <w:bottom w:val="single" w:color="auto" w:sz="6" w:space="0"/>
              <w:right w:val="single" w:color="auto" w:sz="6" w:space="0"/>
            </w:tcBorders>
            <w:noWrap w:val="0"/>
            <w:vAlign w:val="center"/>
          </w:tcPr>
          <w:p w14:paraId="77180A4D">
            <w:pPr>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西方哲学经典导读</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东方哲学经典导读</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逻辑</w:t>
            </w:r>
            <w:r>
              <w:rPr>
                <w:rFonts w:hint="eastAsia" w:ascii="宋体" w:hAnsi="宋体"/>
                <w:color w:val="000000" w:themeColor="text1"/>
                <w:sz w:val="18"/>
                <w:szCs w:val="18"/>
                <w:lang w:eastAsia="zh-CN"/>
                <w14:textFill>
                  <w14:solidFill>
                    <w14:schemeClr w14:val="tx1"/>
                  </w14:solidFill>
                </w14:textFill>
              </w:rPr>
              <w:t>与</w:t>
            </w:r>
            <w:r>
              <w:rPr>
                <w:rFonts w:hint="eastAsia" w:ascii="宋体" w:hAnsi="宋体"/>
                <w:color w:val="000000" w:themeColor="text1"/>
                <w:sz w:val="18"/>
                <w:szCs w:val="18"/>
                <w14:textFill>
                  <w14:solidFill>
                    <w14:schemeClr w14:val="tx1"/>
                  </w14:solidFill>
                </w14:textFill>
              </w:rPr>
              <w:t>批判性思维</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哲学与人生</w:t>
            </w:r>
            <w:r>
              <w:rPr>
                <w:rFonts w:hint="eastAsia" w:ascii="宋体" w:hAnsi="宋体"/>
                <w:color w:val="000000" w:themeColor="text1"/>
                <w:sz w:val="18"/>
                <w:szCs w:val="18"/>
                <w:lang w:eastAsia="zh-CN"/>
                <w14:textFill>
                  <w14:solidFill>
                    <w14:schemeClr w14:val="tx1"/>
                  </w14:solidFill>
                </w14:textFill>
              </w:rPr>
              <w:t>。</w:t>
            </w:r>
          </w:p>
        </w:tc>
      </w:tr>
      <w:tr w14:paraId="5D6CA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71" w:hRule="atLeast"/>
          <w:jc w:val="center"/>
        </w:trPr>
        <w:tc>
          <w:tcPr>
            <w:tcW w:w="788" w:type="dxa"/>
            <w:vMerge w:val="continue"/>
            <w:tcBorders>
              <w:top w:val="single" w:color="auto" w:sz="6" w:space="0"/>
              <w:left w:val="single" w:color="auto" w:sz="6" w:space="0"/>
              <w:bottom w:val="single" w:color="auto" w:sz="6" w:space="0"/>
              <w:right w:val="single" w:color="auto" w:sz="6" w:space="0"/>
            </w:tcBorders>
            <w:noWrap w:val="0"/>
            <w:vAlign w:val="center"/>
          </w:tcPr>
          <w:p w14:paraId="12E4A389">
            <w:pPr>
              <w:widowControl/>
              <w:jc w:val="left"/>
              <w:rPr>
                <w:rFonts w:ascii="宋体" w:hAnsi="宋体"/>
                <w:color w:val="000000" w:themeColor="text1"/>
                <w:sz w:val="18"/>
                <w:szCs w:val="18"/>
                <w14:textFill>
                  <w14:solidFill>
                    <w14:schemeClr w14:val="tx1"/>
                  </w14:solidFill>
                </w14:textFill>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14:paraId="2B211ABA">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历史与文化</w:t>
            </w:r>
          </w:p>
        </w:tc>
        <w:tc>
          <w:tcPr>
            <w:tcW w:w="4884" w:type="dxa"/>
            <w:tcBorders>
              <w:top w:val="single" w:color="auto" w:sz="6" w:space="0"/>
              <w:left w:val="single" w:color="auto" w:sz="6" w:space="0"/>
              <w:bottom w:val="single" w:color="auto" w:sz="6" w:space="0"/>
              <w:right w:val="single" w:color="auto" w:sz="6" w:space="0"/>
            </w:tcBorders>
            <w:noWrap w:val="0"/>
            <w:vAlign w:val="center"/>
          </w:tcPr>
          <w:p w14:paraId="6F33C567">
            <w:pPr>
              <w:rPr>
                <w:rFonts w:hint="eastAsia" w:ascii="宋体" w:hAnsi="宋体"/>
                <w:color w:val="000000" w:themeColor="text1"/>
                <w:spacing w:val="-4"/>
                <w:sz w:val="18"/>
                <w:szCs w:val="18"/>
                <w14:textFill>
                  <w14:solidFill>
                    <w14:schemeClr w14:val="tx1"/>
                  </w14:solidFill>
                </w14:textFill>
              </w:rPr>
            </w:pPr>
            <w:r>
              <w:rPr>
                <w:rFonts w:hint="eastAsia" w:ascii="宋体" w:hAnsi="宋体"/>
                <w:color w:val="000000" w:themeColor="text1"/>
                <w:spacing w:val="-4"/>
                <w:sz w:val="18"/>
                <w:szCs w:val="18"/>
                <w14:textFill>
                  <w14:solidFill>
                    <w14:schemeClr w14:val="tx1"/>
                  </w14:solidFill>
                </w14:textFill>
              </w:rPr>
              <w:t>以中外经典史学、文学经典为核心，帮助大学生对中国传统历史文化与世界诸文明类型形成框架性理解，引导大学生尊重和包容文化的多样性，培养大学生正确的历史观、文化观，促进大学生拓宽国际视野，更好地认识中国、认识世界，树立自觉传承中华文明的使命感。</w:t>
            </w:r>
          </w:p>
        </w:tc>
        <w:tc>
          <w:tcPr>
            <w:tcW w:w="2487" w:type="dxa"/>
            <w:tcBorders>
              <w:top w:val="single" w:color="auto" w:sz="6" w:space="0"/>
              <w:left w:val="single" w:color="auto" w:sz="6" w:space="0"/>
              <w:bottom w:val="single" w:color="auto" w:sz="6" w:space="0"/>
              <w:right w:val="single" w:color="auto" w:sz="6" w:space="0"/>
            </w:tcBorders>
            <w:noWrap w:val="0"/>
            <w:vAlign w:val="center"/>
          </w:tcPr>
          <w:p w14:paraId="33879B54">
            <w:pPr>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世界文明与历史</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中华文化与历史</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地方历史与文化</w:t>
            </w:r>
            <w:r>
              <w:rPr>
                <w:rFonts w:hint="eastAsia" w:ascii="宋体" w:hAnsi="宋体"/>
                <w:color w:val="000000" w:themeColor="text1"/>
                <w:sz w:val="18"/>
                <w:szCs w:val="18"/>
                <w:lang w:eastAsia="zh-CN"/>
                <w14:textFill>
                  <w14:solidFill>
                    <w14:schemeClr w14:val="tx1"/>
                  </w14:solidFill>
                </w14:textFill>
              </w:rPr>
              <w:t>传承。</w:t>
            </w:r>
          </w:p>
        </w:tc>
      </w:tr>
      <w:tr w14:paraId="57C13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36" w:hRule="atLeast"/>
          <w:jc w:val="center"/>
        </w:trPr>
        <w:tc>
          <w:tcPr>
            <w:tcW w:w="788" w:type="dxa"/>
            <w:vMerge w:val="continue"/>
            <w:tcBorders>
              <w:top w:val="single" w:color="auto" w:sz="6" w:space="0"/>
              <w:left w:val="single" w:color="auto" w:sz="6" w:space="0"/>
              <w:bottom w:val="single" w:color="auto" w:sz="6" w:space="0"/>
              <w:right w:val="single" w:color="auto" w:sz="6" w:space="0"/>
            </w:tcBorders>
            <w:noWrap w:val="0"/>
            <w:vAlign w:val="center"/>
          </w:tcPr>
          <w:p w14:paraId="4BA443CD">
            <w:pPr>
              <w:widowControl/>
              <w:jc w:val="left"/>
              <w:rPr>
                <w:rFonts w:ascii="宋体" w:hAnsi="宋体"/>
                <w:color w:val="000000" w:themeColor="text1"/>
                <w:sz w:val="18"/>
                <w:szCs w:val="18"/>
                <w14:textFill>
                  <w14:solidFill>
                    <w14:schemeClr w14:val="tx1"/>
                  </w14:solidFill>
                </w14:textFill>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14:paraId="1062CE4D">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文学与艺术</w:t>
            </w:r>
          </w:p>
        </w:tc>
        <w:tc>
          <w:tcPr>
            <w:tcW w:w="4884" w:type="dxa"/>
            <w:tcBorders>
              <w:top w:val="single" w:color="auto" w:sz="6" w:space="0"/>
              <w:left w:val="single" w:color="auto" w:sz="6" w:space="0"/>
              <w:bottom w:val="single" w:color="auto" w:sz="6" w:space="0"/>
              <w:right w:val="single" w:color="auto" w:sz="6" w:space="0"/>
            </w:tcBorders>
            <w:noWrap w:val="0"/>
            <w:vAlign w:val="center"/>
          </w:tcPr>
          <w:p w14:paraId="7E9C315E">
            <w:pPr>
              <w:rPr>
                <w:rFonts w:hint="eastAsia" w:ascii="宋体" w:hAnsi="宋体"/>
                <w:color w:val="000000" w:themeColor="text1"/>
                <w:spacing w:val="-4"/>
                <w:sz w:val="18"/>
                <w:szCs w:val="18"/>
                <w14:textFill>
                  <w14:solidFill>
                    <w14:schemeClr w14:val="tx1"/>
                  </w14:solidFill>
                </w14:textFill>
              </w:rPr>
            </w:pPr>
            <w:r>
              <w:rPr>
                <w:rFonts w:hint="eastAsia" w:ascii="宋体" w:hAnsi="宋体"/>
                <w:color w:val="000000" w:themeColor="text1"/>
                <w:spacing w:val="-4"/>
                <w:sz w:val="18"/>
                <w:szCs w:val="18"/>
                <w14:textFill>
                  <w14:solidFill>
                    <w14:schemeClr w14:val="tx1"/>
                  </w14:solidFill>
                </w14:textFill>
              </w:rPr>
              <w:t>通过文学欣赏与体验、艺术教学、美育与审美体验，引导大学生鉴赏古今中外优秀文艺作品，帮助大学生认识文艺本质，培养文艺思维，提高审美能力，提升人生境界。让大学生在真善美的浸润和感染下，逐渐形成积极、正面的思想情感、人生态度和价值观念，同时增强其艺术创造与表达能力。教学中注重欣赏与艺术体验相结合的过程性学习。</w:t>
            </w:r>
          </w:p>
        </w:tc>
        <w:tc>
          <w:tcPr>
            <w:tcW w:w="2487" w:type="dxa"/>
            <w:tcBorders>
              <w:top w:val="single" w:color="auto" w:sz="6" w:space="0"/>
              <w:left w:val="single" w:color="auto" w:sz="6" w:space="0"/>
              <w:bottom w:val="single" w:color="auto" w:sz="6" w:space="0"/>
              <w:right w:val="single" w:color="auto" w:sz="6" w:space="0"/>
            </w:tcBorders>
            <w:noWrap w:val="0"/>
            <w:vAlign w:val="center"/>
          </w:tcPr>
          <w:p w14:paraId="7D75C3C7">
            <w:pPr>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文学欣赏与创作</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艺术欣赏与体验</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艺术与新媒体</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本土民间艺术研学</w:t>
            </w:r>
            <w:r>
              <w:rPr>
                <w:rFonts w:hint="eastAsia" w:ascii="宋体" w:hAnsi="宋体"/>
                <w:color w:val="000000" w:themeColor="text1"/>
                <w:sz w:val="18"/>
                <w:szCs w:val="18"/>
                <w:lang w:eastAsia="zh-CN"/>
                <w14:textFill>
                  <w14:solidFill>
                    <w14:schemeClr w14:val="tx1"/>
                  </w14:solidFill>
                </w14:textFill>
              </w:rPr>
              <w:t>。</w:t>
            </w:r>
          </w:p>
        </w:tc>
      </w:tr>
      <w:tr w14:paraId="00ADA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45" w:hRule="atLeast"/>
          <w:jc w:val="center"/>
        </w:trPr>
        <w:tc>
          <w:tcPr>
            <w:tcW w:w="788" w:type="dxa"/>
            <w:vMerge w:val="restart"/>
            <w:tcBorders>
              <w:top w:val="single" w:color="auto" w:sz="6" w:space="0"/>
              <w:left w:val="single" w:color="auto" w:sz="6" w:space="0"/>
              <w:bottom w:val="single" w:color="auto" w:sz="6" w:space="0"/>
              <w:right w:val="single" w:color="auto" w:sz="6" w:space="0"/>
            </w:tcBorders>
            <w:noWrap w:val="0"/>
            <w:vAlign w:val="center"/>
          </w:tcPr>
          <w:p w14:paraId="7143D71D">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社会科学类</w:t>
            </w:r>
          </w:p>
        </w:tc>
        <w:tc>
          <w:tcPr>
            <w:tcW w:w="1172" w:type="dxa"/>
            <w:tcBorders>
              <w:top w:val="single" w:color="auto" w:sz="6" w:space="0"/>
              <w:left w:val="single" w:color="auto" w:sz="6" w:space="0"/>
              <w:bottom w:val="single" w:color="auto" w:sz="6" w:space="0"/>
              <w:right w:val="single" w:color="auto" w:sz="6" w:space="0"/>
            </w:tcBorders>
            <w:noWrap w:val="0"/>
            <w:vAlign w:val="center"/>
          </w:tcPr>
          <w:p w14:paraId="5139C8D2">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经济与社会</w:t>
            </w:r>
          </w:p>
        </w:tc>
        <w:tc>
          <w:tcPr>
            <w:tcW w:w="4884" w:type="dxa"/>
            <w:tcBorders>
              <w:top w:val="single" w:color="auto" w:sz="6" w:space="0"/>
              <w:left w:val="single" w:color="auto" w:sz="6" w:space="0"/>
              <w:bottom w:val="single" w:color="auto" w:sz="6" w:space="0"/>
              <w:right w:val="single" w:color="auto" w:sz="6" w:space="0"/>
            </w:tcBorders>
            <w:noWrap w:val="0"/>
            <w:vAlign w:val="center"/>
          </w:tcPr>
          <w:p w14:paraId="7E41FCDC">
            <w:pPr>
              <w:rPr>
                <w:rFonts w:hint="eastAsia" w:ascii="宋体" w:hAnsi="宋体"/>
                <w:color w:val="000000" w:themeColor="text1"/>
                <w:spacing w:val="-4"/>
                <w:sz w:val="18"/>
                <w:szCs w:val="18"/>
                <w14:textFill>
                  <w14:solidFill>
                    <w14:schemeClr w14:val="tx1"/>
                  </w14:solidFill>
                </w14:textFill>
              </w:rPr>
            </w:pPr>
            <w:r>
              <w:rPr>
                <w:rFonts w:hint="eastAsia" w:ascii="宋体" w:hAnsi="宋体"/>
                <w:color w:val="000000" w:themeColor="text1"/>
                <w:spacing w:val="-4"/>
                <w:sz w:val="18"/>
                <w:szCs w:val="18"/>
                <w14:textFill>
                  <w14:solidFill>
                    <w14:schemeClr w14:val="tx1"/>
                  </w14:solidFill>
                </w14:textFill>
              </w:rPr>
              <w:t>通过对社会科学理论的介绍以及适当的社会科学方法的训练，引导大学生理解现代经济基本运行机制，了解社会组织与管理的基本原理，掌握社会科学的基本研究范式与重要理论模型，学会对复杂社会现象理性判断，以及使用社会科学的视角去审视中国和世界的能力，并拓宽大学生对中外经济与社会比较研究的全球化视野。</w:t>
            </w:r>
          </w:p>
        </w:tc>
        <w:tc>
          <w:tcPr>
            <w:tcW w:w="2487" w:type="dxa"/>
            <w:tcBorders>
              <w:top w:val="single" w:color="auto" w:sz="6" w:space="0"/>
              <w:left w:val="single" w:color="auto" w:sz="6" w:space="0"/>
              <w:bottom w:val="single" w:color="auto" w:sz="6" w:space="0"/>
              <w:right w:val="single" w:color="auto" w:sz="6" w:space="0"/>
            </w:tcBorders>
            <w:noWrap w:val="0"/>
            <w:vAlign w:val="center"/>
          </w:tcPr>
          <w:p w14:paraId="6A236F3B">
            <w:pPr>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商业与投资</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法律、产业与生活</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文化与传播</w:t>
            </w:r>
            <w:r>
              <w:rPr>
                <w:rFonts w:hint="eastAsia" w:ascii="宋体" w:hAnsi="宋体"/>
                <w:color w:val="000000" w:themeColor="text1"/>
                <w:sz w:val="18"/>
                <w:szCs w:val="18"/>
                <w:lang w:eastAsia="zh-CN"/>
                <w14:textFill>
                  <w14:solidFill>
                    <w14:schemeClr w14:val="tx1"/>
                  </w14:solidFill>
                </w14:textFill>
              </w:rPr>
              <w:t>。</w:t>
            </w:r>
          </w:p>
        </w:tc>
      </w:tr>
      <w:tr w14:paraId="19FD8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08" w:hRule="atLeast"/>
          <w:jc w:val="center"/>
        </w:trPr>
        <w:tc>
          <w:tcPr>
            <w:tcW w:w="788" w:type="dxa"/>
            <w:vMerge w:val="continue"/>
            <w:tcBorders>
              <w:top w:val="single" w:color="auto" w:sz="6" w:space="0"/>
              <w:left w:val="single" w:color="auto" w:sz="6" w:space="0"/>
              <w:bottom w:val="single" w:color="auto" w:sz="6" w:space="0"/>
              <w:right w:val="single" w:color="auto" w:sz="6" w:space="0"/>
            </w:tcBorders>
            <w:noWrap w:val="0"/>
            <w:vAlign w:val="center"/>
          </w:tcPr>
          <w:p w14:paraId="15A340F2">
            <w:pPr>
              <w:widowControl/>
              <w:jc w:val="left"/>
              <w:rPr>
                <w:rFonts w:ascii="宋体" w:hAnsi="宋体"/>
                <w:color w:val="000000" w:themeColor="text1"/>
                <w:sz w:val="18"/>
                <w:szCs w:val="18"/>
                <w14:textFill>
                  <w14:solidFill>
                    <w14:schemeClr w14:val="tx1"/>
                  </w14:solidFill>
                </w14:textFill>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14:paraId="212B2D62">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沟通与领导</w:t>
            </w:r>
          </w:p>
        </w:tc>
        <w:tc>
          <w:tcPr>
            <w:tcW w:w="4884" w:type="dxa"/>
            <w:tcBorders>
              <w:top w:val="single" w:color="auto" w:sz="6" w:space="0"/>
              <w:left w:val="single" w:color="auto" w:sz="6" w:space="0"/>
              <w:bottom w:val="single" w:color="auto" w:sz="6" w:space="0"/>
              <w:right w:val="single" w:color="auto" w:sz="6" w:space="0"/>
            </w:tcBorders>
            <w:noWrap w:val="0"/>
            <w:vAlign w:val="center"/>
          </w:tcPr>
          <w:p w14:paraId="0B55E246">
            <w:pPr>
              <w:rPr>
                <w:rFonts w:hint="eastAsia" w:ascii="宋体" w:hAnsi="宋体"/>
                <w:color w:val="000000" w:themeColor="text1"/>
                <w:spacing w:val="-4"/>
                <w:sz w:val="18"/>
                <w:szCs w:val="18"/>
                <w14:textFill>
                  <w14:solidFill>
                    <w14:schemeClr w14:val="tx1"/>
                  </w14:solidFill>
                </w14:textFill>
              </w:rPr>
            </w:pPr>
            <w:r>
              <w:rPr>
                <w:rFonts w:hint="eastAsia" w:ascii="宋体" w:hAnsi="宋体"/>
                <w:color w:val="000000" w:themeColor="text1"/>
                <w:spacing w:val="-4"/>
                <w:sz w:val="18"/>
                <w:szCs w:val="18"/>
                <w14:textFill>
                  <w14:solidFill>
                    <w14:schemeClr w14:val="tx1"/>
                  </w14:solidFill>
                </w14:textFill>
              </w:rPr>
              <w:t>通过多领域的课程设置，着力强化大学生的沟通与领导能力，提升大学生的跨界整合能力，培育具有国际视野、家国情怀，以及广博知识、跨文化沟通能力，能够担当引领未来和造福社会的卓越领军人才。</w:t>
            </w:r>
          </w:p>
        </w:tc>
        <w:tc>
          <w:tcPr>
            <w:tcW w:w="2487" w:type="dxa"/>
            <w:tcBorders>
              <w:top w:val="single" w:color="auto" w:sz="6" w:space="0"/>
              <w:left w:val="single" w:color="auto" w:sz="6" w:space="0"/>
              <w:bottom w:val="single" w:color="auto" w:sz="6" w:space="0"/>
              <w:right w:val="single" w:color="auto" w:sz="6" w:space="0"/>
            </w:tcBorders>
            <w:noWrap w:val="0"/>
            <w:vAlign w:val="center"/>
          </w:tcPr>
          <w:p w14:paraId="5832CEE3">
            <w:pPr>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国际沟通与表达</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沟通能力与技巧</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领导艺术</w:t>
            </w:r>
            <w:r>
              <w:rPr>
                <w:rFonts w:hint="eastAsia" w:ascii="宋体" w:hAnsi="宋体"/>
                <w:color w:val="000000" w:themeColor="text1"/>
                <w:sz w:val="18"/>
                <w:szCs w:val="18"/>
                <w:lang w:eastAsia="zh-CN"/>
                <w14:textFill>
                  <w14:solidFill>
                    <w14:schemeClr w14:val="tx1"/>
                  </w14:solidFill>
                </w14:textFill>
              </w:rPr>
              <w:t>。</w:t>
            </w:r>
          </w:p>
        </w:tc>
      </w:tr>
      <w:tr w14:paraId="438AC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06" w:hRule="atLeast"/>
          <w:jc w:val="center"/>
        </w:trPr>
        <w:tc>
          <w:tcPr>
            <w:tcW w:w="788" w:type="dxa"/>
            <w:vMerge w:val="restart"/>
            <w:tcBorders>
              <w:top w:val="single" w:color="auto" w:sz="6" w:space="0"/>
              <w:left w:val="single" w:color="auto" w:sz="6" w:space="0"/>
              <w:bottom w:val="single" w:color="auto" w:sz="6" w:space="0"/>
              <w:right w:val="single" w:color="auto" w:sz="6" w:space="0"/>
            </w:tcBorders>
            <w:noWrap w:val="0"/>
            <w:vAlign w:val="center"/>
          </w:tcPr>
          <w:p w14:paraId="577446B4">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自然科学类</w:t>
            </w:r>
          </w:p>
        </w:tc>
        <w:tc>
          <w:tcPr>
            <w:tcW w:w="1172" w:type="dxa"/>
            <w:tcBorders>
              <w:top w:val="single" w:color="auto" w:sz="6" w:space="0"/>
              <w:left w:val="single" w:color="auto" w:sz="6" w:space="0"/>
              <w:bottom w:val="single" w:color="auto" w:sz="6" w:space="0"/>
              <w:right w:val="single" w:color="auto" w:sz="6" w:space="0"/>
            </w:tcBorders>
            <w:noWrap w:val="0"/>
            <w:vAlign w:val="center"/>
          </w:tcPr>
          <w:p w14:paraId="378D24D1">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科学与研究</w:t>
            </w:r>
          </w:p>
        </w:tc>
        <w:tc>
          <w:tcPr>
            <w:tcW w:w="4884" w:type="dxa"/>
            <w:tcBorders>
              <w:top w:val="single" w:color="auto" w:sz="6" w:space="0"/>
              <w:left w:val="single" w:color="auto" w:sz="6" w:space="0"/>
              <w:bottom w:val="single" w:color="auto" w:sz="6" w:space="0"/>
              <w:right w:val="single" w:color="auto" w:sz="6" w:space="0"/>
            </w:tcBorders>
            <w:noWrap w:val="0"/>
            <w:vAlign w:val="center"/>
          </w:tcPr>
          <w:p w14:paraId="5B5E97BF">
            <w:pPr>
              <w:rPr>
                <w:rFonts w:hint="eastAsia" w:ascii="宋体" w:hAnsi="宋体"/>
                <w:color w:val="000000" w:themeColor="text1"/>
                <w:spacing w:val="-4"/>
                <w:sz w:val="18"/>
                <w:szCs w:val="18"/>
                <w14:textFill>
                  <w14:solidFill>
                    <w14:schemeClr w14:val="tx1"/>
                  </w14:solidFill>
                </w14:textFill>
              </w:rPr>
            </w:pPr>
            <w:r>
              <w:rPr>
                <w:rFonts w:hint="eastAsia" w:ascii="宋体" w:hAnsi="宋体"/>
                <w:color w:val="000000" w:themeColor="text1"/>
                <w:spacing w:val="-4"/>
                <w:sz w:val="18"/>
                <w:szCs w:val="18"/>
                <w14:textFill>
                  <w14:solidFill>
                    <w14:schemeClr w14:val="tx1"/>
                  </w14:solidFill>
                </w14:textFill>
              </w:rPr>
              <w:t>激发大学生的求知欲与对于科技未来发展的想象力和创造力，引导其了解自然现象与科技创造的规律，及掌握自然科学研究的一般方法。培养大学生形成良好的数理思维、逻辑思维、创新思维意识，提升大学生的科学素养、运用科学知识和科学规律解决实际问题的能力、技术创新与创新实践的能力。</w:t>
            </w:r>
          </w:p>
        </w:tc>
        <w:tc>
          <w:tcPr>
            <w:tcW w:w="2487" w:type="dxa"/>
            <w:tcBorders>
              <w:top w:val="single" w:color="auto" w:sz="6" w:space="0"/>
              <w:left w:val="single" w:color="auto" w:sz="6" w:space="0"/>
              <w:bottom w:val="single" w:color="auto" w:sz="6" w:space="0"/>
              <w:right w:val="single" w:color="auto" w:sz="6" w:space="0"/>
            </w:tcBorders>
            <w:noWrap w:val="0"/>
            <w:vAlign w:val="center"/>
          </w:tcPr>
          <w:p w14:paraId="32E78FD2">
            <w:pPr>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科学精神与应用</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科技探索与技术创新</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生态环境与可持续发展</w:t>
            </w:r>
            <w:r>
              <w:rPr>
                <w:rFonts w:hint="eastAsia" w:ascii="宋体" w:hAnsi="宋体"/>
                <w:color w:val="000000" w:themeColor="text1"/>
                <w:sz w:val="18"/>
                <w:szCs w:val="18"/>
                <w:lang w:eastAsia="zh-CN"/>
                <w14:textFill>
                  <w14:solidFill>
                    <w14:schemeClr w14:val="tx1"/>
                  </w14:solidFill>
                </w14:textFill>
              </w:rPr>
              <w:t>。</w:t>
            </w:r>
          </w:p>
        </w:tc>
      </w:tr>
      <w:tr w14:paraId="48F73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08" w:hRule="atLeast"/>
          <w:jc w:val="center"/>
        </w:trPr>
        <w:tc>
          <w:tcPr>
            <w:tcW w:w="788" w:type="dxa"/>
            <w:vMerge w:val="continue"/>
            <w:tcBorders>
              <w:top w:val="single" w:color="auto" w:sz="6" w:space="0"/>
              <w:left w:val="single" w:color="auto" w:sz="6" w:space="0"/>
              <w:bottom w:val="single" w:color="auto" w:sz="6" w:space="0"/>
              <w:right w:val="single" w:color="auto" w:sz="6" w:space="0"/>
            </w:tcBorders>
            <w:noWrap w:val="0"/>
            <w:vAlign w:val="center"/>
          </w:tcPr>
          <w:p w14:paraId="3DB5D368">
            <w:pPr>
              <w:widowControl/>
              <w:jc w:val="left"/>
              <w:rPr>
                <w:rFonts w:ascii="宋体" w:hAnsi="宋体"/>
                <w:color w:val="000000" w:themeColor="text1"/>
                <w:sz w:val="18"/>
                <w:szCs w:val="18"/>
                <w14:textFill>
                  <w14:solidFill>
                    <w14:schemeClr w14:val="tx1"/>
                  </w14:solidFill>
                </w14:textFill>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14:paraId="250E392B">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健康与生活</w:t>
            </w:r>
          </w:p>
        </w:tc>
        <w:tc>
          <w:tcPr>
            <w:tcW w:w="4884" w:type="dxa"/>
            <w:tcBorders>
              <w:top w:val="single" w:color="auto" w:sz="6" w:space="0"/>
              <w:left w:val="single" w:color="auto" w:sz="6" w:space="0"/>
              <w:bottom w:val="single" w:color="auto" w:sz="6" w:space="0"/>
              <w:right w:val="single" w:color="auto" w:sz="6" w:space="0"/>
            </w:tcBorders>
            <w:noWrap w:val="0"/>
            <w:vAlign w:val="center"/>
          </w:tcPr>
          <w:p w14:paraId="1A1AB7EF">
            <w:pPr>
              <w:rPr>
                <w:rFonts w:hint="eastAsia" w:ascii="宋体" w:hAnsi="宋体"/>
                <w:color w:val="000000" w:themeColor="text1"/>
                <w:spacing w:val="-4"/>
                <w:sz w:val="18"/>
                <w:szCs w:val="18"/>
                <w14:textFill>
                  <w14:solidFill>
                    <w14:schemeClr w14:val="tx1"/>
                  </w14:solidFill>
                </w14:textFill>
              </w:rPr>
            </w:pPr>
            <w:r>
              <w:rPr>
                <w:rFonts w:hint="eastAsia" w:ascii="宋体" w:hAnsi="宋体"/>
                <w:color w:val="000000" w:themeColor="text1"/>
                <w:spacing w:val="-4"/>
                <w:sz w:val="18"/>
                <w:szCs w:val="18"/>
                <w14:textFill>
                  <w14:solidFill>
                    <w14:schemeClr w14:val="tx1"/>
                  </w14:solidFill>
                </w14:textFill>
              </w:rPr>
              <w:t>对开展健康教育、绿色生活和生命关怀，培养大学生绿色、健康的生活方式和阳光心态，促进大学生树立“人人为健康，健康为人人”公共卫生理念，倡导健康文明生活方式，激励大学生珍爱生命，提升健康水平与生命价值。</w:t>
            </w:r>
          </w:p>
        </w:tc>
        <w:tc>
          <w:tcPr>
            <w:tcW w:w="2487" w:type="dxa"/>
            <w:tcBorders>
              <w:top w:val="single" w:color="auto" w:sz="6" w:space="0"/>
              <w:left w:val="single" w:color="auto" w:sz="6" w:space="0"/>
              <w:bottom w:val="single" w:color="auto" w:sz="6" w:space="0"/>
              <w:right w:val="single" w:color="auto" w:sz="6" w:space="0"/>
            </w:tcBorders>
            <w:noWrap w:val="0"/>
            <w:vAlign w:val="center"/>
          </w:tcPr>
          <w:p w14:paraId="5F0427B6">
            <w:pPr>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生命保障与关怀</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身心健康与</w:t>
            </w:r>
            <w:r>
              <w:rPr>
                <w:rFonts w:hint="eastAsia" w:ascii="宋体" w:hAnsi="宋体"/>
                <w:color w:val="000000" w:themeColor="text1"/>
                <w:sz w:val="18"/>
                <w:szCs w:val="18"/>
                <w:lang w:eastAsia="zh-CN"/>
                <w14:textFill>
                  <w14:solidFill>
                    <w14:schemeClr w14:val="tx1"/>
                  </w14:solidFill>
                </w14:textFill>
              </w:rPr>
              <w:t>维护；</w:t>
            </w:r>
            <w:r>
              <w:rPr>
                <w:rFonts w:hint="eastAsia" w:ascii="宋体" w:hAnsi="宋体"/>
                <w:color w:val="000000" w:themeColor="text1"/>
                <w:sz w:val="18"/>
                <w:szCs w:val="18"/>
                <w14:textFill>
                  <w14:solidFill>
                    <w14:schemeClr w14:val="tx1"/>
                  </w14:solidFill>
                </w14:textFill>
              </w:rPr>
              <w:t>科技与休闲</w:t>
            </w:r>
            <w:r>
              <w:rPr>
                <w:rFonts w:hint="eastAsia" w:ascii="宋体" w:hAnsi="宋体"/>
                <w:color w:val="000000" w:themeColor="text1"/>
                <w:sz w:val="18"/>
                <w:szCs w:val="18"/>
                <w:lang w:eastAsia="zh-CN"/>
                <w14:textFill>
                  <w14:solidFill>
                    <w14:schemeClr w14:val="tx1"/>
                  </w14:solidFill>
                </w14:textFill>
              </w:rPr>
              <w:t>。</w:t>
            </w:r>
          </w:p>
        </w:tc>
      </w:tr>
      <w:tr w14:paraId="6F357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1" w:hRule="atLeast"/>
          <w:jc w:val="center"/>
        </w:trPr>
        <w:tc>
          <w:tcPr>
            <w:tcW w:w="788" w:type="dxa"/>
            <w:tcBorders>
              <w:top w:val="single" w:color="auto" w:sz="6" w:space="0"/>
              <w:left w:val="single" w:color="auto" w:sz="6" w:space="0"/>
              <w:bottom w:val="single" w:color="auto" w:sz="6" w:space="0"/>
              <w:right w:val="single" w:color="auto" w:sz="6" w:space="0"/>
            </w:tcBorders>
            <w:noWrap w:val="0"/>
            <w:vAlign w:val="center"/>
          </w:tcPr>
          <w:p w14:paraId="78BB89EE">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综合素质与自我发展课程</w:t>
            </w:r>
          </w:p>
        </w:tc>
        <w:tc>
          <w:tcPr>
            <w:tcW w:w="1172" w:type="dxa"/>
            <w:tcBorders>
              <w:top w:val="single" w:color="auto" w:sz="6" w:space="0"/>
              <w:left w:val="single" w:color="auto" w:sz="6" w:space="0"/>
              <w:bottom w:val="single" w:color="auto" w:sz="6" w:space="0"/>
              <w:right w:val="single" w:color="auto" w:sz="6" w:space="0"/>
            </w:tcBorders>
            <w:noWrap w:val="0"/>
            <w:vAlign w:val="center"/>
          </w:tcPr>
          <w:p w14:paraId="4E6536B3">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各类讲座</w:t>
            </w:r>
          </w:p>
        </w:tc>
        <w:tc>
          <w:tcPr>
            <w:tcW w:w="7371" w:type="dxa"/>
            <w:gridSpan w:val="2"/>
            <w:tcBorders>
              <w:top w:val="single" w:color="auto" w:sz="6" w:space="0"/>
              <w:left w:val="single" w:color="auto" w:sz="6" w:space="0"/>
              <w:bottom w:val="single" w:color="auto" w:sz="6" w:space="0"/>
              <w:right w:val="single" w:color="auto" w:sz="6" w:space="0"/>
            </w:tcBorders>
            <w:noWrap w:val="0"/>
            <w:vAlign w:val="center"/>
          </w:tcPr>
          <w:p w14:paraId="6BC3A2D9">
            <w:pPr>
              <w:jc w:val="center"/>
              <w:rPr>
                <w:rFonts w:hint="eastAsia" w:ascii="宋体" w:hAnsi="宋体"/>
                <w:color w:val="000000" w:themeColor="text1"/>
                <w:spacing w:val="-4"/>
                <w:sz w:val="18"/>
                <w:szCs w:val="18"/>
                <w14:textFill>
                  <w14:solidFill>
                    <w14:schemeClr w14:val="tx1"/>
                  </w14:solidFill>
                </w14:textFill>
              </w:rPr>
            </w:pPr>
            <w:r>
              <w:rPr>
                <w:rFonts w:hint="eastAsia" w:ascii="宋体" w:hAnsi="宋体"/>
                <w:color w:val="000000" w:themeColor="text1"/>
                <w:spacing w:val="-4"/>
                <w:sz w:val="18"/>
                <w:szCs w:val="18"/>
                <w14:textFill>
                  <w14:solidFill>
                    <w14:schemeClr w14:val="tx1"/>
                  </w14:solidFill>
                </w14:textFill>
              </w:rPr>
              <w:t>每参与一次讲座计0.15学分，各专业学生至少须参与10次讲座。</w:t>
            </w:r>
          </w:p>
        </w:tc>
      </w:tr>
    </w:tbl>
    <w:p w14:paraId="1A128486">
      <w:pPr>
        <w:ind w:firstLine="180" w:firstLineChars="100"/>
        <w:jc w:val="left"/>
        <w:rPr>
          <w:rFonts w:hint="eastAsia" w:ascii="宋体" w:hAnsi="宋体" w:eastAsia="宋体"/>
          <w:color w:val="000000" w:themeColor="text1"/>
          <w:spacing w:val="-4"/>
          <w:sz w:val="18"/>
          <w:szCs w:val="18"/>
          <w:lang w:eastAsia="zh-CN"/>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备注：</w:t>
      </w:r>
      <w:r>
        <w:rPr>
          <w:rFonts w:hint="eastAsia" w:ascii="宋体" w:hAnsi="宋体"/>
          <w:color w:val="000000" w:themeColor="text1"/>
          <w:spacing w:val="-4"/>
          <w:sz w:val="18"/>
          <w:szCs w:val="18"/>
          <w14:textFill>
            <w14:solidFill>
              <w14:schemeClr w14:val="tx1"/>
            </w14:solidFill>
          </w14:textFill>
        </w:rPr>
        <w:t>1</w:t>
      </w:r>
      <w:r>
        <w:rPr>
          <w:rFonts w:hint="eastAsia" w:ascii="宋体" w:hAnsi="宋体"/>
          <w:color w:val="000000" w:themeColor="text1"/>
          <w:spacing w:val="-4"/>
          <w:sz w:val="18"/>
          <w:szCs w:val="18"/>
          <w:lang w:val="en-US" w:eastAsia="zh-CN"/>
          <w14:textFill>
            <w14:solidFill>
              <w14:schemeClr w14:val="tx1"/>
            </w14:solidFill>
          </w14:textFill>
        </w:rPr>
        <w:t>.</w:t>
      </w:r>
      <w:r>
        <w:rPr>
          <w:rFonts w:hint="eastAsia" w:ascii="宋体" w:hAnsi="宋体"/>
          <w:color w:val="000000" w:themeColor="text1"/>
          <w:spacing w:val="-4"/>
          <w:sz w:val="18"/>
          <w:szCs w:val="18"/>
          <w14:textFill>
            <w14:solidFill>
              <w14:schemeClr w14:val="tx1"/>
            </w14:solidFill>
          </w14:textFill>
        </w:rPr>
        <w:t>每个课程群</w:t>
      </w:r>
      <w:r>
        <w:rPr>
          <w:rFonts w:hint="eastAsia" w:ascii="宋体" w:hAnsi="宋体"/>
          <w:color w:val="000000" w:themeColor="text1"/>
          <w:spacing w:val="-4"/>
          <w:sz w:val="18"/>
          <w:szCs w:val="18"/>
          <w:lang w:val="en-US" w:eastAsia="zh-CN"/>
          <w14:textFill>
            <w14:solidFill>
              <w14:schemeClr w14:val="tx1"/>
            </w14:solidFill>
          </w14:textFill>
        </w:rPr>
        <w:t>包</w:t>
      </w:r>
      <w:r>
        <w:rPr>
          <w:rFonts w:hint="eastAsia" w:ascii="宋体" w:hAnsi="宋体"/>
          <w:color w:val="000000" w:themeColor="text1"/>
          <w:spacing w:val="-4"/>
          <w:sz w:val="18"/>
          <w:szCs w:val="18"/>
          <w14:textFill>
            <w14:solidFill>
              <w14:schemeClr w14:val="tx1"/>
            </w14:solidFill>
          </w14:textFill>
        </w:rPr>
        <w:t>含多门通识核心课程和通识一般课程，具体课程开设情况见选课通知</w:t>
      </w:r>
      <w:r>
        <w:rPr>
          <w:rFonts w:hint="eastAsia" w:ascii="宋体" w:hAnsi="宋体"/>
          <w:color w:val="000000" w:themeColor="text1"/>
          <w:spacing w:val="-4"/>
          <w:sz w:val="18"/>
          <w:szCs w:val="18"/>
          <w:lang w:eastAsia="zh-CN"/>
          <w14:textFill>
            <w14:solidFill>
              <w14:schemeClr w14:val="tx1"/>
            </w14:solidFill>
          </w14:textFill>
        </w:rPr>
        <w:t>；</w:t>
      </w:r>
    </w:p>
    <w:p w14:paraId="2823C72F">
      <w:pPr>
        <w:ind w:firstLine="688" w:firstLineChars="400"/>
        <w:jc w:val="left"/>
        <w:rPr>
          <w:rFonts w:hint="eastAsia" w:ascii="宋体" w:hAnsi="宋体" w:eastAsia="宋体"/>
          <w:color w:val="000000" w:themeColor="text1"/>
          <w:spacing w:val="-4"/>
          <w:sz w:val="18"/>
          <w:szCs w:val="18"/>
          <w:lang w:eastAsia="zh-CN"/>
          <w14:textFill>
            <w14:solidFill>
              <w14:schemeClr w14:val="tx1"/>
            </w14:solidFill>
          </w14:textFill>
        </w:rPr>
      </w:pPr>
      <w:r>
        <w:rPr>
          <w:rFonts w:hint="eastAsia" w:ascii="宋体" w:hAnsi="宋体"/>
          <w:color w:val="000000" w:themeColor="text1"/>
          <w:spacing w:val="-4"/>
          <w:sz w:val="18"/>
          <w:szCs w:val="18"/>
          <w14:textFill>
            <w14:solidFill>
              <w14:schemeClr w14:val="tx1"/>
            </w14:solidFill>
          </w14:textFill>
        </w:rPr>
        <w:t>2</w:t>
      </w:r>
      <w:r>
        <w:rPr>
          <w:rFonts w:hint="eastAsia" w:ascii="宋体" w:hAnsi="宋体"/>
          <w:color w:val="000000" w:themeColor="text1"/>
          <w:spacing w:val="-4"/>
          <w:sz w:val="18"/>
          <w:szCs w:val="18"/>
          <w:lang w:val="en-US" w:eastAsia="zh-CN"/>
          <w14:textFill>
            <w14:solidFill>
              <w14:schemeClr w14:val="tx1"/>
            </w14:solidFill>
          </w14:textFill>
        </w:rPr>
        <w:t>.</w:t>
      </w:r>
      <w:r>
        <w:rPr>
          <w:rFonts w:hint="eastAsia" w:ascii="宋体" w:hAnsi="宋体"/>
          <w:color w:val="000000" w:themeColor="text1"/>
          <w:spacing w:val="-4"/>
          <w:sz w:val="18"/>
          <w:szCs w:val="18"/>
          <w14:textFill>
            <w14:solidFill>
              <w14:schemeClr w14:val="tx1"/>
            </w14:solidFill>
          </w14:textFill>
        </w:rPr>
        <w:t>至少选修4个不同模块的通识核心课程，且通识核心课程不少于6学分</w:t>
      </w:r>
      <w:r>
        <w:rPr>
          <w:rFonts w:hint="eastAsia" w:ascii="宋体" w:hAnsi="宋体"/>
          <w:color w:val="000000" w:themeColor="text1"/>
          <w:spacing w:val="-4"/>
          <w:sz w:val="18"/>
          <w:szCs w:val="18"/>
          <w:lang w:eastAsia="zh-CN"/>
          <w14:textFill>
            <w14:solidFill>
              <w14:schemeClr w14:val="tx1"/>
            </w14:solidFill>
          </w14:textFill>
        </w:rPr>
        <w:t>；</w:t>
      </w:r>
    </w:p>
    <w:p w14:paraId="44C1388A">
      <w:pPr>
        <w:ind w:firstLine="688" w:firstLineChars="400"/>
        <w:jc w:val="left"/>
        <w:rPr>
          <w:rFonts w:hint="eastAsia" w:ascii="宋体" w:hAnsi="宋体" w:eastAsia="宋体"/>
          <w:color w:val="000000" w:themeColor="text1"/>
          <w:spacing w:val="-4"/>
          <w:sz w:val="18"/>
          <w:szCs w:val="18"/>
          <w:lang w:eastAsia="zh-CN"/>
          <w14:textFill>
            <w14:solidFill>
              <w14:schemeClr w14:val="tx1"/>
            </w14:solidFill>
          </w14:textFill>
        </w:rPr>
      </w:pPr>
      <w:r>
        <w:rPr>
          <w:rFonts w:hint="eastAsia" w:ascii="宋体" w:hAnsi="宋体"/>
          <w:color w:val="000000" w:themeColor="text1"/>
          <w:spacing w:val="-4"/>
          <w:sz w:val="18"/>
          <w:szCs w:val="18"/>
          <w14:textFill>
            <w14:solidFill>
              <w14:schemeClr w14:val="tx1"/>
            </w14:solidFill>
          </w14:textFill>
        </w:rPr>
        <w:t>3</w:t>
      </w:r>
      <w:r>
        <w:rPr>
          <w:rFonts w:hint="eastAsia" w:ascii="宋体" w:hAnsi="宋体"/>
          <w:color w:val="000000" w:themeColor="text1"/>
          <w:spacing w:val="-4"/>
          <w:sz w:val="18"/>
          <w:szCs w:val="18"/>
          <w:lang w:val="en-US" w:eastAsia="zh-CN"/>
          <w14:textFill>
            <w14:solidFill>
              <w14:schemeClr w14:val="tx1"/>
            </w14:solidFill>
          </w14:textFill>
        </w:rPr>
        <w:t>.</w:t>
      </w:r>
      <w:r>
        <w:rPr>
          <w:rFonts w:hint="eastAsia" w:ascii="宋体" w:hAnsi="宋体"/>
          <w:color w:val="000000" w:themeColor="text1"/>
          <w:spacing w:val="-4"/>
          <w:sz w:val="18"/>
          <w:szCs w:val="18"/>
          <w:lang w:eastAsia="zh-CN"/>
          <w14:textFill>
            <w14:solidFill>
              <w14:schemeClr w14:val="tx1"/>
            </w14:solidFill>
          </w14:textFill>
        </w:rPr>
        <w:t>选修</w:t>
      </w:r>
      <w:r>
        <w:rPr>
          <w:rFonts w:hint="eastAsia" w:ascii="宋体" w:hAnsi="宋体"/>
          <w:color w:val="000000" w:themeColor="text1"/>
          <w:spacing w:val="-4"/>
          <w:sz w:val="18"/>
          <w:szCs w:val="18"/>
          <w14:textFill>
            <w14:solidFill>
              <w14:schemeClr w14:val="tx1"/>
            </w14:solidFill>
          </w14:textFill>
        </w:rPr>
        <w:t>“文学与艺术”模块艺术类</w:t>
      </w:r>
      <w:r>
        <w:rPr>
          <w:rFonts w:hint="eastAsia" w:ascii="宋体" w:hAnsi="宋体"/>
          <w:color w:val="000000" w:themeColor="text1"/>
          <w:spacing w:val="-4"/>
          <w:sz w:val="18"/>
          <w:szCs w:val="18"/>
          <w:lang w:eastAsia="zh-CN"/>
          <w14:textFill>
            <w14:solidFill>
              <w14:schemeClr w14:val="tx1"/>
            </w14:solidFill>
          </w14:textFill>
        </w:rPr>
        <w:t>核心</w:t>
      </w:r>
      <w:r>
        <w:rPr>
          <w:rFonts w:hint="eastAsia" w:ascii="宋体" w:hAnsi="宋体"/>
          <w:color w:val="000000" w:themeColor="text1"/>
          <w:spacing w:val="-4"/>
          <w:sz w:val="18"/>
          <w:szCs w:val="18"/>
          <w14:textFill>
            <w14:solidFill>
              <w14:schemeClr w14:val="tx1"/>
            </w14:solidFill>
          </w14:textFill>
        </w:rPr>
        <w:t>课程不少于2学分</w:t>
      </w:r>
      <w:r>
        <w:rPr>
          <w:rFonts w:hint="eastAsia" w:ascii="宋体" w:hAnsi="宋体"/>
          <w:color w:val="000000" w:themeColor="text1"/>
          <w:spacing w:val="-4"/>
          <w:sz w:val="18"/>
          <w:szCs w:val="18"/>
          <w:lang w:eastAsia="zh-CN"/>
          <w14:textFill>
            <w14:solidFill>
              <w14:schemeClr w14:val="tx1"/>
            </w14:solidFill>
          </w14:textFill>
        </w:rPr>
        <w:t>；</w:t>
      </w:r>
    </w:p>
    <w:p w14:paraId="52D2283C">
      <w:pPr>
        <w:ind w:firstLine="688" w:firstLineChars="400"/>
        <w:jc w:val="left"/>
        <w:rPr>
          <w:rFonts w:hint="default" w:ascii="宋体" w:hAnsi="宋体" w:eastAsia="宋体"/>
          <w:color w:val="000000" w:themeColor="text1"/>
          <w:spacing w:val="-4"/>
          <w:sz w:val="18"/>
          <w:szCs w:val="18"/>
          <w:lang w:val="en-US" w:eastAsia="zh-CN"/>
          <w14:textFill>
            <w14:solidFill>
              <w14:schemeClr w14:val="tx1"/>
            </w14:solidFill>
          </w14:textFill>
        </w:rPr>
      </w:pPr>
      <w:r>
        <w:rPr>
          <w:rFonts w:hint="eastAsia" w:ascii="宋体" w:hAnsi="宋体"/>
          <w:color w:val="000000" w:themeColor="text1"/>
          <w:spacing w:val="-4"/>
          <w:sz w:val="18"/>
          <w:szCs w:val="18"/>
          <w:lang w:val="en-US" w:eastAsia="zh-CN"/>
          <w14:textFill>
            <w14:solidFill>
              <w14:schemeClr w14:val="tx1"/>
            </w14:solidFill>
          </w14:textFill>
        </w:rPr>
        <w:t>4.师范专业学生必须在“沟通与领导”模块的“</w:t>
      </w:r>
      <w:r>
        <w:rPr>
          <w:rFonts w:hint="eastAsia" w:ascii="宋体" w:hAnsi="宋体"/>
          <w:color w:val="000000" w:themeColor="text1"/>
          <w:sz w:val="18"/>
          <w:szCs w:val="18"/>
          <w14:textFill>
            <w14:solidFill>
              <w14:schemeClr w14:val="tx1"/>
            </w14:solidFill>
          </w14:textFill>
        </w:rPr>
        <w:t>沟通能力与技巧</w:t>
      </w:r>
      <w:r>
        <w:rPr>
          <w:rFonts w:hint="eastAsia" w:ascii="宋体" w:hAnsi="宋体"/>
          <w:color w:val="000000" w:themeColor="text1"/>
          <w:spacing w:val="-4"/>
          <w:sz w:val="18"/>
          <w:szCs w:val="18"/>
          <w:lang w:val="en-US" w:eastAsia="zh-CN"/>
          <w14:textFill>
            <w14:solidFill>
              <w14:schemeClr w14:val="tx1"/>
            </w14:solidFill>
          </w14:textFill>
        </w:rPr>
        <w:t>”课群中选修《形象与礼仪》课程0.5学分；</w:t>
      </w:r>
    </w:p>
    <w:p w14:paraId="40BED617">
      <w:pPr>
        <w:ind w:firstLine="688" w:firstLineChars="400"/>
        <w:jc w:val="left"/>
        <w:rPr>
          <w:rFonts w:hint="default" w:ascii="宋体" w:hAnsi="宋体" w:eastAsia="宋体"/>
          <w:color w:val="000000" w:themeColor="text1"/>
          <w:spacing w:val="-4"/>
          <w:sz w:val="18"/>
          <w:szCs w:val="18"/>
          <w:lang w:val="en-US" w:eastAsia="zh-CN"/>
          <w14:textFill>
            <w14:solidFill>
              <w14:schemeClr w14:val="tx1"/>
            </w14:solidFill>
          </w14:textFill>
        </w:rPr>
      </w:pPr>
      <w:r>
        <w:rPr>
          <w:rFonts w:hint="eastAsia" w:ascii="宋体" w:hAnsi="宋体"/>
          <w:color w:val="000000" w:themeColor="text1"/>
          <w:spacing w:val="-4"/>
          <w:sz w:val="18"/>
          <w:szCs w:val="18"/>
          <w14:textFill>
            <w14:solidFill>
              <w14:schemeClr w14:val="tx1"/>
            </w14:solidFill>
          </w14:textFill>
        </w:rPr>
        <w:t>5</w:t>
      </w:r>
      <w:r>
        <w:rPr>
          <w:rFonts w:hint="eastAsia" w:ascii="宋体" w:hAnsi="宋体"/>
          <w:color w:val="000000" w:themeColor="text1"/>
          <w:spacing w:val="-4"/>
          <w:sz w:val="18"/>
          <w:szCs w:val="18"/>
          <w:lang w:val="en-US" w:eastAsia="zh-CN"/>
          <w14:textFill>
            <w14:solidFill>
              <w14:schemeClr w14:val="tx1"/>
            </w14:solidFill>
          </w14:textFill>
        </w:rPr>
        <w:t>.</w:t>
      </w:r>
      <w:r>
        <w:rPr>
          <w:rFonts w:hint="eastAsia" w:ascii="宋体" w:hAnsi="宋体"/>
          <w:color w:val="000000" w:themeColor="text1"/>
          <w:spacing w:val="-4"/>
          <w:sz w:val="18"/>
          <w:szCs w:val="18"/>
          <w:lang w:eastAsia="zh-CN"/>
          <w14:textFill>
            <w14:solidFill>
              <w14:schemeClr w14:val="tx1"/>
            </w14:solidFill>
          </w14:textFill>
        </w:rPr>
        <w:t>非师范专业学生必须在“哲学与思维”模块的“</w:t>
      </w:r>
      <w:r>
        <w:rPr>
          <w:rFonts w:hint="eastAsia" w:ascii="宋体" w:hAnsi="宋体"/>
          <w:color w:val="000000" w:themeColor="text1"/>
          <w:sz w:val="18"/>
          <w:szCs w:val="18"/>
          <w:lang w:val="en-US" w:eastAsia="zh-CN"/>
          <w14:textFill>
            <w14:solidFill>
              <w14:schemeClr w14:val="tx1"/>
            </w14:solidFill>
          </w14:textFill>
        </w:rPr>
        <w:t>创新与</w:t>
      </w:r>
      <w:r>
        <w:rPr>
          <w:rFonts w:hint="eastAsia" w:ascii="宋体" w:hAnsi="宋体"/>
          <w:color w:val="000000" w:themeColor="text1"/>
          <w:sz w:val="18"/>
          <w:szCs w:val="18"/>
          <w14:textFill>
            <w14:solidFill>
              <w14:schemeClr w14:val="tx1"/>
            </w14:solidFill>
          </w14:textFill>
        </w:rPr>
        <w:t>逻辑</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批判性思维</w:t>
      </w:r>
      <w:r>
        <w:rPr>
          <w:rFonts w:hint="eastAsia" w:ascii="宋体" w:hAnsi="宋体"/>
          <w:color w:val="000000" w:themeColor="text1"/>
          <w:spacing w:val="-4"/>
          <w:sz w:val="18"/>
          <w:szCs w:val="18"/>
          <w:lang w:eastAsia="zh-CN"/>
          <w14:textFill>
            <w14:solidFill>
              <w14:schemeClr w14:val="tx1"/>
            </w14:solidFill>
          </w14:textFill>
        </w:rPr>
        <w:t>”课群中选修《逻辑与批判性思维》</w:t>
      </w:r>
      <w:r>
        <w:rPr>
          <w:rFonts w:hint="eastAsia" w:ascii="宋体" w:hAnsi="宋体"/>
          <w:color w:val="000000" w:themeColor="text1"/>
          <w:spacing w:val="-4"/>
          <w:sz w:val="18"/>
          <w:szCs w:val="18"/>
          <w:lang w:val="en-US" w:eastAsia="zh-CN"/>
          <w14:textFill>
            <w14:solidFill>
              <w14:schemeClr w14:val="tx1"/>
            </w14:solidFill>
          </w14:textFill>
        </w:rPr>
        <w:t xml:space="preserve">0.5学分； </w:t>
      </w:r>
    </w:p>
    <w:p w14:paraId="2A6BFFA2">
      <w:pPr>
        <w:ind w:firstLine="688" w:firstLineChars="400"/>
        <w:rPr>
          <w:rFonts w:hint="eastAsia" w:ascii="宋体" w:hAnsi="宋体" w:eastAsia="宋体"/>
          <w:bCs/>
          <w:color w:val="000000" w:themeColor="text1"/>
          <w:sz w:val="18"/>
          <w:szCs w:val="18"/>
          <w:lang w:eastAsia="zh-CN"/>
          <w14:textFill>
            <w14:solidFill>
              <w14:schemeClr w14:val="tx1"/>
            </w14:solidFill>
          </w14:textFill>
        </w:rPr>
      </w:pPr>
      <w:r>
        <w:rPr>
          <w:rFonts w:hint="eastAsia" w:ascii="宋体" w:hAnsi="宋体"/>
          <w:color w:val="000000" w:themeColor="text1"/>
          <w:spacing w:val="-4"/>
          <w:sz w:val="18"/>
          <w:szCs w:val="18"/>
          <w:lang w:val="en-US" w:eastAsia="zh-CN"/>
          <w14:textFill>
            <w14:solidFill>
              <w14:schemeClr w14:val="tx1"/>
            </w14:solidFill>
          </w14:textFill>
        </w:rPr>
        <w:t>6.</w:t>
      </w:r>
      <w:r>
        <w:rPr>
          <w:rFonts w:hint="eastAsia" w:ascii="宋体" w:hAnsi="宋体"/>
          <w:bCs/>
          <w:color w:val="000000" w:themeColor="text1"/>
          <w:sz w:val="18"/>
          <w:szCs w:val="18"/>
          <w14:textFill>
            <w14:solidFill>
              <w14:schemeClr w14:val="tx1"/>
            </w14:solidFill>
          </w14:textFill>
        </w:rPr>
        <w:t>各专业可根据专业人才培养目标和专业认证毕业要求指导学生选择相应的课程，要求学生跨专业跨学科选择课程</w:t>
      </w:r>
      <w:r>
        <w:rPr>
          <w:rFonts w:hint="eastAsia" w:ascii="宋体" w:hAnsi="宋体"/>
          <w:bCs/>
          <w:color w:val="000000" w:themeColor="text1"/>
          <w:sz w:val="18"/>
          <w:szCs w:val="18"/>
          <w:lang w:eastAsia="zh-CN"/>
          <w14:textFill>
            <w14:solidFill>
              <w14:schemeClr w14:val="tx1"/>
            </w14:solidFill>
          </w14:textFill>
        </w:rPr>
        <w:t>；</w:t>
      </w:r>
    </w:p>
    <w:p w14:paraId="20B0F9C8">
      <w:pPr>
        <w:numPr>
          <w:ilvl w:val="0"/>
          <w:numId w:val="0"/>
        </w:numPr>
        <w:ind w:firstLine="688" w:firstLineChars="400"/>
        <w:rPr>
          <w:rFonts w:hint="eastAsia" w:ascii="宋体" w:hAnsi="宋体"/>
          <w:bCs/>
          <w:color w:val="000000" w:themeColor="text1"/>
          <w:sz w:val="18"/>
          <w:szCs w:val="18"/>
          <w14:textFill>
            <w14:solidFill>
              <w14:schemeClr w14:val="tx1"/>
            </w14:solidFill>
          </w14:textFill>
        </w:rPr>
      </w:pPr>
      <w:r>
        <w:rPr>
          <w:rFonts w:hint="eastAsia" w:ascii="宋体" w:hAnsi="宋体"/>
          <w:color w:val="000000" w:themeColor="text1"/>
          <w:spacing w:val="-4"/>
          <w:sz w:val="18"/>
          <w:szCs w:val="18"/>
          <w:lang w:val="en-US" w:eastAsia="zh-CN"/>
          <w14:textFill>
            <w14:solidFill>
              <w14:schemeClr w14:val="tx1"/>
            </w14:solidFill>
          </w14:textFill>
        </w:rPr>
        <w:t>7.</w:t>
      </w:r>
      <w:r>
        <w:rPr>
          <w:rFonts w:hint="eastAsia" w:ascii="宋体" w:hAnsi="宋体"/>
          <w:color w:val="000000" w:themeColor="text1"/>
          <w:spacing w:val="-4"/>
          <w:sz w:val="18"/>
          <w:szCs w:val="18"/>
          <w14:textFill>
            <w14:solidFill>
              <w14:schemeClr w14:val="tx1"/>
            </w14:solidFill>
          </w14:textFill>
        </w:rPr>
        <w:t>总学分不少于12学分</w:t>
      </w:r>
      <w:r>
        <w:rPr>
          <w:rFonts w:hint="eastAsia" w:ascii="宋体" w:hAnsi="宋体"/>
          <w:bCs/>
          <w:color w:val="000000" w:themeColor="text1"/>
          <w:sz w:val="18"/>
          <w:szCs w:val="18"/>
          <w14:textFill>
            <w14:solidFill>
              <w14:schemeClr w14:val="tx1"/>
            </w14:solidFill>
          </w14:textFill>
        </w:rPr>
        <w:t>。</w:t>
      </w:r>
    </w:p>
    <w:p w14:paraId="1173C4B5">
      <w:pPr>
        <w:rPr>
          <w:color w:val="000000" w:themeColor="text1"/>
          <w14:textFill>
            <w14:solidFill>
              <w14:schemeClr w14:val="tx1"/>
            </w14:solidFill>
          </w14:textFill>
        </w:rPr>
      </w:pPr>
    </w:p>
    <w:sectPr>
      <w:pgSz w:w="11906" w:h="16838"/>
      <w:pgMar w:top="1100" w:right="839" w:bottom="1100" w:left="83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MWMzNDJjOTAyMDExZGMzOGM0NDRjOGFhZTg4ZmEifQ=="/>
  </w:docVars>
  <w:rsids>
    <w:rsidRoot w:val="3C846273"/>
    <w:rsid w:val="184D55D5"/>
    <w:rsid w:val="25AC11CB"/>
    <w:rsid w:val="29F01BCF"/>
    <w:rsid w:val="3C846273"/>
    <w:rsid w:val="63EC57B8"/>
    <w:rsid w:val="641B2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1379</Words>
  <Characters>1396</Characters>
  <Lines>0</Lines>
  <Paragraphs>0</Paragraphs>
  <TotalTime>3</TotalTime>
  <ScaleCrop>false</ScaleCrop>
  <LinksUpToDate>false</LinksUpToDate>
  <CharactersWithSpaces>1397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2022-06-22T23:59:00Z</dcterms:created>
  <dc:creator>慧慧</dc:creator>
  <cp:lastModifiedBy>周慧</cp:lastModifiedBy>
  <dcterms:modified xsi:type="dcterms:W3CDTF">2025-01-13T03:45:49Z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ADDC4BE5332444B8BE941B161DEE5860</vt:lpwstr>
  </property>
</Properties>
</file>